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36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center"/>
        <w:textAlignment w:val="auto"/>
        <w:rPr>
          <w:rFonts w:hint="eastAsia" w:ascii="宋体" w:hAnsi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b/>
          <w:sz w:val="30"/>
          <w:szCs w:val="30"/>
          <w:highlight w:val="none"/>
          <w:lang w:eastAsia="zh-CN"/>
        </w:rPr>
        <w:t>钢筋混凝土排水管技术要求</w:t>
      </w:r>
    </w:p>
    <w:p w14:paraId="38E2E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一、遵循标准</w:t>
      </w:r>
    </w:p>
    <w:p w14:paraId="57410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GB/T 11836-2023《混凝土和钢筋混凝土排水管》</w:t>
      </w:r>
    </w:p>
    <w:p w14:paraId="59C20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GB 175-2023《通用硅酸盐水泥》</w:t>
      </w:r>
    </w:p>
    <w:p w14:paraId="79A83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GB/T 748-2023《抗硫酸盐硅酸盐水泥》</w:t>
      </w:r>
    </w:p>
    <w:p w14:paraId="26C4A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GB/T 1499.1-2024《钢筋混凝土用钢 第1部分：热轧光圆钢筋》</w:t>
      </w:r>
    </w:p>
    <w:p w14:paraId="206D8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GB/T 1499.2-2024《钢筋混凝土用钢 第2部分：热轧带肋钢筋》</w:t>
      </w:r>
    </w:p>
    <w:p w14:paraId="0D018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GB/T 13788-2024《冷轧带肋钢筋》</w:t>
      </w:r>
    </w:p>
    <w:p w14:paraId="46A2A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GB/T 14684-2022《建设用砂》</w:t>
      </w:r>
    </w:p>
    <w:p w14:paraId="488B3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GB/T 14685-2022《建设用卵石、碎石》</w:t>
      </w:r>
    </w:p>
    <w:p w14:paraId="6AFE6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GB/T 20472-2006《硫铝酸盐水泥》</w:t>
      </w:r>
    </w:p>
    <w:p w14:paraId="2FCB0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GB/T 50010-2010《混凝土结构设计标准（2024年版）》</w:t>
      </w:r>
    </w:p>
    <w:p w14:paraId="234CE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GB 50204-2015《混凝土结构工程施工质量验收规范》</w:t>
      </w:r>
    </w:p>
    <w:p w14:paraId="1B157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JC/T 540-2006《混凝土制品用冷拔低碳钢丝》</w:t>
      </w:r>
    </w:p>
    <w:p w14:paraId="61DF7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JC/T 946-2005《混凝土和钢筋混凝土排水管用橡胶密封圈》</w:t>
      </w:r>
    </w:p>
    <w:p w14:paraId="0DAE2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JGJ 18-2012《钢筋焊接及验收规程》</w:t>
      </w:r>
    </w:p>
    <w:p w14:paraId="04746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JGJ 63-2006《混凝土用水标准》</w:t>
      </w:r>
    </w:p>
    <w:p w14:paraId="03856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JGJ 95-2011《冷轧带肋钢筋混凝土结构技术规程》</w:t>
      </w:r>
    </w:p>
    <w:p w14:paraId="01BE5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本技术要求未提及的技术细节执行国家、行业相关标准和规范。</w:t>
      </w:r>
    </w:p>
    <w:p w14:paraId="22E14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二、技术要求</w:t>
      </w:r>
    </w:p>
    <w:p w14:paraId="3A999FF4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钢筋混凝土管（以下简称“管子”）分为Ⅰ、Ⅱ、Ⅲ三级。管的规格、外部荷载和内水压力检验指标满足GB/T 11836《混凝土和钢筋混凝土排水管》的要求以及设计要求。</w:t>
      </w:r>
    </w:p>
    <w:p w14:paraId="4BAAE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钢筋混凝土管的接头型式按照设计文件执行。</w:t>
      </w:r>
    </w:p>
    <w:p w14:paraId="7E48C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原材料</w:t>
      </w:r>
    </w:p>
    <w:p w14:paraId="5ACCE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1）水泥宜采用强度不低于42.5级的硅酸盐水泥、普通硅酸盐水泥、矿渣硅酸盐水泥，也可采用抗硫酸盐硅酸盐水泥、硫铝酸盐水泥。水泥性能应分别符合GB 175、GB/T 748、GB/T 20472的规定。</w:t>
      </w:r>
    </w:p>
    <w:p w14:paraId="5C1C5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2）细骨料宜采用细度模数为3.3~2.0的砂。砂的其他质量指标应符合GB/T 14684的规定。粗骨料宜采用碎石，也可采用卵石。石子的最大粒径不应大于钢筋混凝土管壁厚的1/3，并不应大于环筋径距的3/4。石子的其他质量指标应符合GB/T 14685的规定。</w:t>
      </w:r>
    </w:p>
    <w:p w14:paraId="566BE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3）混凝土拌合用水应符合JGJ 63规定。</w:t>
      </w:r>
    </w:p>
    <w:p w14:paraId="23A7F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4）钢筋宜采用冷轧带肋钢筋、热轧带肋钢筋，也可采用热轧光圆钢筋、冷拔低碳钢丝。钢筋性能应分别符合GB/T 13788、GB/T 1499.2、GB/T 1499.1、JC/T 540的规定。</w:t>
      </w:r>
    </w:p>
    <w:p w14:paraId="5122E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5）钢筋骨架制作：环筋直径小于或等于12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en-US"/>
        </w:rPr>
        <w:t>mm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时，应采用滚焊成型；环筋直径大于12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en-US"/>
        </w:rPr>
        <w:t>mm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时，可采用滚焊成型或人工焊接成型。纵筋端头露出环筋的长度不宜大于25mm。钢筋的连接处理及焊接质量应符合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en-US"/>
        </w:rPr>
        <w:t>GB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50204、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en-US"/>
        </w:rPr>
        <w:t>JGJ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95、JGJ 18的规定。</w:t>
      </w:r>
    </w:p>
    <w:p w14:paraId="7B06A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6）钢筋骨架的环筋当量由设计计算确定，环筋直径不宜小于4.0mm。环筋净距宜为35mm~120mm。当环筋需要双筋并筋或等强代换时，应符合GB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/T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50010的规定。钢筋骨架两端的环筋宜采用单筋加密1圈〜2圈。</w:t>
      </w:r>
    </w:p>
    <w:p w14:paraId="5461A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7）钢筋骨架的纵筋直径不应小于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en-US"/>
        </w:rPr>
        <w:t>4.0 mm。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纵筋的环向间距不应大于400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en-US"/>
        </w:rPr>
        <w:t>mm,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且纵筋根数不应少于6根，宜为6或8的倍数。</w:t>
      </w:r>
    </w:p>
    <w:p w14:paraId="5F5D6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8）壁厚小于或等于100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en-US"/>
        </w:rPr>
        <w:t>mm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的管子，宜采用单层配筋，配筋位置宜在距管内壁2/5处；壁厚大于100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en-US"/>
        </w:rPr>
        <w:t>mm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的管子应采用双层配筋。</w:t>
      </w:r>
    </w:p>
    <w:p w14:paraId="465CE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9）用于顶进施工的管子，宜在管端200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en-US"/>
        </w:rPr>
        <w:t>mm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〜300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en-US"/>
        </w:rPr>
        <w:t>mm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范围内増加环筋的数量、沿管端纵筋配置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en-US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型箍筋或其他型式加强筋。</w:t>
      </w:r>
    </w:p>
    <w:p w14:paraId="01A8C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10）制作钢承口钢板应平整，无翘曲、变形。钢承口用钢板厚度应按照GB/T 11836-2023第5.4条相关要求执行。钢承口应按设计图纸要求定型加工，焊接应牢固，成型后应将接口内侧焊接面磨平，并进行整圆处理。</w:t>
      </w:r>
    </w:p>
    <w:p w14:paraId="2ECFB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11）橡胶密封圈应采用天然橡胶或合成橡胶。橡胶圈的防霉等级宜优于二级，抗老化性能应符合管子使用寿命要求，其他指标应符合设计或JC/T 946的有关规定。</w:t>
      </w:r>
    </w:p>
    <w:p w14:paraId="5E5A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12）带有接头的橡胶密封圈其接头应进行硫化，接头结合强度应符合JC/T 946-2005《混凝土和钢筋混凝土排水管用橡胶密封圈》表3的规定。</w:t>
      </w:r>
    </w:p>
    <w:p w14:paraId="0652E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13）橡胶密封圈的形状及尺寸应根据设计确定。</w:t>
      </w:r>
    </w:p>
    <w:p w14:paraId="29283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强度要求</w:t>
      </w:r>
    </w:p>
    <w:p w14:paraId="74ACC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用于制作开槽施工管子的混凝土强度等级：当管子公称内径小于或等于1000mm时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不应低于C35；当管子公称内径大于1000mm时，不应低于C40。</w:t>
      </w:r>
    </w:p>
    <w:p w14:paraId="0437E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用于制作顶进施工管子的混凝土强度等级不应低于C45。</w:t>
      </w:r>
    </w:p>
    <w:p w14:paraId="48E34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外观质量</w:t>
      </w:r>
    </w:p>
    <w:p w14:paraId="01F5B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1）管子内、外表面应平整，管子应无粘皮、麻面、蜂窝、塌落、露筋、空鼓、断面碰伤，局部凹坑深度不应大于5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en-US"/>
        </w:rPr>
        <w:t>mm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，模具合缝处不应漏浆。</w:t>
      </w:r>
    </w:p>
    <w:p w14:paraId="3231F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2）混凝土管不应有裂缝；钢筋混凝土管外表面不应有裂缝，内表面裂缝宽度不得超过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en-US"/>
        </w:rPr>
        <w:t>0.05mm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，但管子表面龟裂不在此限。</w:t>
      </w:r>
    </w:p>
    <w:p w14:paraId="52A8A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4）橡胶密封圈的颜色要均匀，不应有游离硫、石腊等喷出物。橡胶密封圈的材质须致密，无肉眼可见的杂质、气孔、裂缝及其它有碍使用的缺陷。单个橡胶密封圈上，凹凸不平整高度不应超过1mm、面积不应超过6mm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，且不应多于三处。橡胶密封圈上的毛刺须除净，其厚度不应超过0.4mm,剪损宽度不应超过0.8 mm。橡胶密封圈应无平面扭曲现象。合模缝错位不应超过断面公差。带接头的橡胶密封圈，接头处应平顺，并无分离迹象，接头处错位不应超过0.5mm。</w:t>
      </w:r>
    </w:p>
    <w:p w14:paraId="5B534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尺寸偏差</w:t>
      </w:r>
    </w:p>
    <w:p w14:paraId="21ED5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1）钢筋混凝土排水管尺寸偏差需符合GB/T 11836-2023《混凝土和钢筋混凝土排水管》中6.3尺寸偏差要求。</w:t>
      </w:r>
    </w:p>
    <w:p w14:paraId="4A8A1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2）橡胶密封圈断面尺寸(直径、宽、高)公差应符合JC/T 946-2005《混凝土和钢筋混凝土排水管用橡胶密封圈》表2的规定。</w:t>
      </w:r>
    </w:p>
    <w:p w14:paraId="055FE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内水压力</w:t>
      </w:r>
    </w:p>
    <w:p w14:paraId="188E5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管子内水压力检验值不应低于GB/T 11836-2023《混凝土和钢筋混凝土排水管》表1、表2规定的内水压力要求。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管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子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在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进行内水压力检验时，在规定的内水压力检验值下允许有潮片，但潮片面积不应大于总外表面积的5%，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且不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应有水珠流淌。壁厚大于或等于150mm的雨水管，可不作内水压力检验。</w:t>
      </w:r>
    </w:p>
    <w:p w14:paraId="4B7E2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8.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外压荷载</w:t>
      </w:r>
    </w:p>
    <w:p w14:paraId="7D64A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管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子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外压荷载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检验值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不得低于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GB/T 11836-2023《混凝土和钢筋混凝土排水管》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表1、表2规定的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外压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荷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载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要求。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管子在进行外压荷载检验时：在规定的裂缝荷载检验值下，管壁出现的裂缝宽度不应大于0.20mm；在规定的破坏荷载检验值下，管子不应失去承载能力。</w:t>
      </w:r>
    </w:p>
    <w:p w14:paraId="156C4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9.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保护层厚度</w:t>
      </w:r>
    </w:p>
    <w:p w14:paraId="07822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环筋的内、外混凝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土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保护层厚度不应小于20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en-US"/>
        </w:rPr>
        <w:t>mm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；纵筋的内混凝土保护层厚度不应小于15mm。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对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特殊防腐要求的管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子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应根据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设计和相关标准要求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  <w:t>确定保护层厚度。</w:t>
      </w:r>
    </w:p>
    <w:p w14:paraId="0FB85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0.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标志</w:t>
      </w:r>
    </w:p>
    <w:p w14:paraId="42555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（1）每根合格的管子表面应有标志，具体内容包括：企业名称、商标、产品标记、生产日期等。推荐使用数码标签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或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电子芯片。管子表面应有“禁止碰撞”的标识。</w:t>
      </w:r>
    </w:p>
    <w:p w14:paraId="508EE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（2）管子出厂时，应附企业统一编号的产品合格证，其内容应包括： </w:t>
      </w:r>
    </w:p>
    <w:p w14:paraId="19718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a)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企业名称、商标、厂址、电话； </w:t>
      </w:r>
    </w:p>
    <w:p w14:paraId="27D65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b)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生产日期、出厂日期； </w:t>
      </w:r>
    </w:p>
    <w:p w14:paraId="3FF85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c)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执行标准； </w:t>
      </w:r>
    </w:p>
    <w:p w14:paraId="02E52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d)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产品品种、规格、外压荷载级别； </w:t>
      </w:r>
    </w:p>
    <w:p w14:paraId="32C4D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e)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产品出厂检验报告；</w:t>
      </w:r>
    </w:p>
    <w:p w14:paraId="5BDFD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f)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企业检验部门及检验人员鉴章。</w:t>
      </w:r>
    </w:p>
    <w:p w14:paraId="1FDB8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三、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其他</w:t>
      </w:r>
    </w:p>
    <w:p w14:paraId="7560D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产品的质保期应满足招标单位提出的要求，且不低于行业同类产品的质保年限。</w:t>
      </w:r>
    </w:p>
    <w:p w14:paraId="62440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其他未尽事宜按照设计要求或标准图集要求。</w:t>
      </w:r>
    </w:p>
    <w:p w14:paraId="346F1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</w:p>
    <w:p w14:paraId="78D87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080" w:firstLineChars="1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</w:p>
    <w:p w14:paraId="2663A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880" w:firstLineChars="2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</w:p>
    <w:p w14:paraId="09691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586" w:leftChars="2660" w:right="0" w:rightChars="0" w:firstLine="280" w:firstLineChars="1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技术管理部                                                      2025年7月23日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zRjNGIwYTkyOWZlMDNmMzAyOTUzNTNiOTBkN2MifQ=="/>
  </w:docVars>
  <w:rsids>
    <w:rsidRoot w:val="00000000"/>
    <w:rsid w:val="006607EF"/>
    <w:rsid w:val="02AF0391"/>
    <w:rsid w:val="07241267"/>
    <w:rsid w:val="07261D65"/>
    <w:rsid w:val="074E08DE"/>
    <w:rsid w:val="0851037D"/>
    <w:rsid w:val="090109D5"/>
    <w:rsid w:val="09593D22"/>
    <w:rsid w:val="0AB93AF8"/>
    <w:rsid w:val="0B6B0ACC"/>
    <w:rsid w:val="0CEB024B"/>
    <w:rsid w:val="0FC30637"/>
    <w:rsid w:val="160A395B"/>
    <w:rsid w:val="181C0AFE"/>
    <w:rsid w:val="19A41A92"/>
    <w:rsid w:val="1ADB2B29"/>
    <w:rsid w:val="1E31590D"/>
    <w:rsid w:val="21AA3509"/>
    <w:rsid w:val="21BC1ED5"/>
    <w:rsid w:val="236A5534"/>
    <w:rsid w:val="2915786A"/>
    <w:rsid w:val="29B51641"/>
    <w:rsid w:val="2CC44E53"/>
    <w:rsid w:val="2E8017B3"/>
    <w:rsid w:val="30833901"/>
    <w:rsid w:val="37075491"/>
    <w:rsid w:val="37671EB1"/>
    <w:rsid w:val="3BD1296D"/>
    <w:rsid w:val="3C8A3DBA"/>
    <w:rsid w:val="3E3E1F85"/>
    <w:rsid w:val="41E15122"/>
    <w:rsid w:val="42AD04AC"/>
    <w:rsid w:val="446B419C"/>
    <w:rsid w:val="4629546A"/>
    <w:rsid w:val="4740492D"/>
    <w:rsid w:val="489E5AF0"/>
    <w:rsid w:val="490B2534"/>
    <w:rsid w:val="4A720559"/>
    <w:rsid w:val="4E9B4364"/>
    <w:rsid w:val="4F3E2384"/>
    <w:rsid w:val="50C21901"/>
    <w:rsid w:val="517D02DB"/>
    <w:rsid w:val="52B2190A"/>
    <w:rsid w:val="57C84FAE"/>
    <w:rsid w:val="5AAC62D6"/>
    <w:rsid w:val="5BA115EB"/>
    <w:rsid w:val="5CF7063A"/>
    <w:rsid w:val="5D7B4CBB"/>
    <w:rsid w:val="5FBA2075"/>
    <w:rsid w:val="613F0473"/>
    <w:rsid w:val="65E769C4"/>
    <w:rsid w:val="66E21ABF"/>
    <w:rsid w:val="67B56800"/>
    <w:rsid w:val="67BF60E3"/>
    <w:rsid w:val="684F6E0B"/>
    <w:rsid w:val="6AFA2CD7"/>
    <w:rsid w:val="6CD107B9"/>
    <w:rsid w:val="6F1A427F"/>
    <w:rsid w:val="6FF91ED4"/>
    <w:rsid w:val="7073017D"/>
    <w:rsid w:val="71907444"/>
    <w:rsid w:val="71C25DE9"/>
    <w:rsid w:val="72B60AE5"/>
    <w:rsid w:val="76555E31"/>
    <w:rsid w:val="76AB438E"/>
    <w:rsid w:val="77216870"/>
    <w:rsid w:val="795A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31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line="288" w:lineRule="exact"/>
      <w:ind w:firstLine="360"/>
    </w:pPr>
    <w:rPr>
      <w:rFonts w:ascii="宋体" w:hAnsi="宋体" w:eastAsia="宋体" w:cs="宋体"/>
      <w:color w:val="626366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2295</Words>
  <Characters>2774</Characters>
  <Lines>0</Lines>
  <Paragraphs>0</Paragraphs>
  <TotalTime>8</TotalTime>
  <ScaleCrop>false</ScaleCrop>
  <LinksUpToDate>false</LinksUpToDate>
  <CharactersWithSpaces>2875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2021-03-24T08:37:00Z</dcterms:created>
  <dc:creator>啊实打实</dc:creator>
  <cp:lastModifiedBy>刘雨龙</cp:lastModifiedBy>
  <dcterms:modified xsi:type="dcterms:W3CDTF">2025-07-25T09:06:56Z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60B7C3260B834F6AB00E1C3C5589C442_13</vt:lpwstr>
  </property>
  <property fmtid="{D5CDD505-2E9C-101B-9397-08002B2CF9AE}" pid="4" name="KSOTemplateDocerSaveRecord">
    <vt:lpwstr>eyJoZGlkIjoiZjY5ZjU4N2JkMjJiODlkMTkyYzkzYTQ3YjBkNGZkMTciLCJ1c2VySWQiOiIxNTczMzM4NTkyIn0=</vt:lpwstr>
  </property>
</Properties>
</file>