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新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浮球阀技术要求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 w:eastAsia="zh-CN"/>
        </w:rPr>
        <w:t>遵循标准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QB/T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1199-2014《浮球阀》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1176-2013《铸造钢及铜合金》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HG/T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2810-2008《往复运动橡胶密封圈材料》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5231-2022《加工铜及铜合金牌号和化学成分》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4240-2019《不锈钢丝》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3280-2015《不锈钢冷轧钢板和钢带》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7306.2-2000《55°密封管螺纹 第2部分：圆锥内螺纹与圆锥外螺纹》 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7307-2001《55°非密封管螺纹》</w:t>
      </w:r>
      <w:bookmarkStart w:id="6" w:name="_GoBack"/>
      <w:bookmarkEnd w:id="6"/>
    </w:p>
    <w:p>
      <w:p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15530.1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-2008《铜合金整体铸造法兰》</w:t>
      </w:r>
    </w:p>
    <w:p>
      <w:pPr>
        <w:spacing w:line="240" w:lineRule="auto"/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12225-2018《通用阀门　铜合金铸件技术条件》</w:t>
      </w:r>
    </w:p>
    <w:p>
      <w:p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20078-20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《铜和铜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合金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锻件》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240" w:lineRule="auto"/>
        <w:ind w:right="0" w:rightChars="0" w:firstLine="480" w:firstLineChars="200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GB/T 17219-</w:t>
      </w:r>
      <w:r>
        <w:rPr>
          <w:rFonts w:hint="eastAsia" w:ascii="Times New Roman" w:hAnsi="Times New Roman" w:cs="Times New Roman"/>
          <w:color w:val="000000"/>
          <w:sz w:val="24"/>
          <w:szCs w:val="24"/>
          <w:highlight w:val="none"/>
          <w:lang w:val="en-US" w:eastAsia="zh-CN"/>
        </w:rPr>
        <w:t>1998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《生活饮用水输配水设备及防护材料的安全性评价标准》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本标准适用于工作温度小于80 ℃、工作介质为水的公称压力不大于PN6的内、外螺纹连接浮球阀(公称尺寸DN不大于100 mm)和法兰连接浮球阀(公称尺寸：DN&gt;100 mm-300 mm) 。</w:t>
      </w:r>
    </w:p>
    <w:p>
      <w:pPr>
        <w:pStyle w:val="14"/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1.材料</w:t>
      </w:r>
    </w:p>
    <w:p>
      <w:pPr>
        <w:pStyle w:val="14"/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浮球阀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主要零件材料应符合下表规定，在保证产品性能的条件下，可用其他材料代替。</w:t>
      </w:r>
    </w:p>
    <w:tbl>
      <w:tblPr>
        <w:tblStyle w:val="11"/>
        <w:tblW w:w="0" w:type="auto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146"/>
        <w:gridCol w:w="195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零件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980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牌号</w:t>
            </w:r>
          </w:p>
        </w:tc>
        <w:tc>
          <w:tcPr>
            <w:tcW w:w="193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阀体、阀盖、活塞片、柱塞、小柱塞、杠杆、小阀体、法兰导向爪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铅黄铜</w:t>
            </w:r>
          </w:p>
        </w:tc>
        <w:tc>
          <w:tcPr>
            <w:tcW w:w="1980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ZCuZn40Pb2或HPb59-1</w:t>
            </w:r>
          </w:p>
        </w:tc>
        <w:tc>
          <w:tcPr>
            <w:tcW w:w="193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1176    GB/T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弹簧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不锈钢</w:t>
            </w:r>
          </w:p>
        </w:tc>
        <w:tc>
          <w:tcPr>
            <w:tcW w:w="1980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12Cr18Ni9</w:t>
            </w:r>
          </w:p>
        </w:tc>
        <w:tc>
          <w:tcPr>
            <w:tcW w:w="193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密封件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丁腈橡胶</w:t>
            </w:r>
          </w:p>
        </w:tc>
        <w:tc>
          <w:tcPr>
            <w:tcW w:w="1980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NBR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HG/T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浮球、杠杆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不锈钢</w:t>
            </w:r>
          </w:p>
        </w:tc>
        <w:tc>
          <w:tcPr>
            <w:tcW w:w="1980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06Cr19Ni10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壳体强度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将浮球阀密封面封闭，从浮球阀进水端通入规定压力的水，达到规定的持续时间后，受水压部分的阀体和缸体工作部位应无渗漏、变形。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详见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密封性能、低压密封性能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将浮球阀置于开启状态，从进水端通入规定压力的水，使浮球在水的浮力作用下将阀门关闭，达到规定的持续时间后，从出水口（包括小孔出水口）处目测密封面应无渗漏。</w:t>
      </w:r>
      <w:bookmarkStart w:id="0" w:name="bookmark20"/>
      <w:bookmarkStart w:id="1" w:name="bookmark18"/>
      <w:bookmarkStart w:id="2" w:name="bookmark19"/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详见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表。</w:t>
      </w:r>
    </w:p>
    <w:p>
      <w:pPr>
        <w:pStyle w:val="14"/>
        <w:ind w:firstLine="723" w:firstLineChars="300"/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阀门的壳体和密封试验</w:t>
      </w:r>
    </w:p>
    <w:tbl>
      <w:tblPr>
        <w:tblStyle w:val="11"/>
        <w:tblW w:w="8563" w:type="dxa"/>
        <w:tblInd w:w="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213"/>
        <w:gridCol w:w="154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5" w:type="dxa"/>
            <w:vAlign w:val="center"/>
          </w:tcPr>
          <w:p>
            <w:pPr>
              <w:pStyle w:val="14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公称尺寸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DN/mm</w:t>
            </w:r>
          </w:p>
        </w:tc>
        <w:tc>
          <w:tcPr>
            <w:tcW w:w="2213" w:type="dxa"/>
            <w:vAlign w:val="center"/>
          </w:tcPr>
          <w:p>
            <w:pPr>
              <w:pStyle w:val="14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en-US" w:bidi="en-US"/>
              </w:rPr>
              <w:t>试验类型</w:t>
            </w:r>
          </w:p>
        </w:tc>
        <w:tc>
          <w:tcPr>
            <w:tcW w:w="1540" w:type="dxa"/>
            <w:vAlign w:val="center"/>
          </w:tcPr>
          <w:p>
            <w:pPr>
              <w:pStyle w:val="14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试验水压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/MPa</w:t>
            </w:r>
          </w:p>
        </w:tc>
        <w:tc>
          <w:tcPr>
            <w:tcW w:w="2775" w:type="dxa"/>
            <w:vAlign w:val="center"/>
          </w:tcPr>
          <w:p>
            <w:pPr>
              <w:pStyle w:val="14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最短试验持续时间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≦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50</w:t>
            </w:r>
          </w:p>
        </w:tc>
        <w:tc>
          <w:tcPr>
            <w:tcW w:w="2213" w:type="dxa"/>
            <w:vMerge w:val="restart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壳体强度试验</w:t>
            </w:r>
          </w:p>
        </w:tc>
        <w:tc>
          <w:tcPr>
            <w:tcW w:w="1540" w:type="dxa"/>
            <w:vMerge w:val="restart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0.9±0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200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&gt;200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300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≦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200</w:t>
            </w:r>
          </w:p>
        </w:tc>
        <w:tc>
          <w:tcPr>
            <w:tcW w:w="2213" w:type="dxa"/>
            <w:vMerge w:val="restart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密封性能试验</w:t>
            </w:r>
          </w:p>
        </w:tc>
        <w:tc>
          <w:tcPr>
            <w:tcW w:w="1540" w:type="dxa"/>
            <w:vMerge w:val="restart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0.6±0.1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&gt;200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300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≦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200</w:t>
            </w:r>
          </w:p>
        </w:tc>
        <w:tc>
          <w:tcPr>
            <w:tcW w:w="2213" w:type="dxa"/>
            <w:vMerge w:val="restart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低压密封性能试验</w:t>
            </w:r>
          </w:p>
        </w:tc>
        <w:tc>
          <w:tcPr>
            <w:tcW w:w="1540" w:type="dxa"/>
            <w:vMerge w:val="restart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0.04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&gt;200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300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</w:tr>
      <w:bookmarkEnd w:id="0"/>
      <w:bookmarkEnd w:id="1"/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浮缺密封性能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将浮球阀所配浮球浸入60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℃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-70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℃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的水中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15s,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浮球外表应无渗漏。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2.4最小开启压力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浮球阀处于全关闭工作状态下，开启小孔密封面，逐渐升高进水口压力，在柱塞刚刚打开的瞬间, 测得的进水口压力（即最小开启压力）不应超过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0.04MPa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关闭压力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浮球阀处于全开工作状态下，关闭小孔密封面，在柱塞刚刚关闭的瞬间，测得的进水口压力（即关闭压力）应为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0.01MPa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0.6MPa。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2.6浮球浸入水中的体积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在公称压力下，浮球阀关闭时，浮球浸入水中的体积不应大于浮球总体积的1/2。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 管螺纹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3.1管螺纹尺寸应符合GB/T 7306.2 或GB/T 7307中的规定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3.2管螺纹表面粗糙度Ra不应大于6.3</w:t>
      </w:r>
      <w:r>
        <w:rPr>
          <w:rFonts w:hint="default" w:ascii="Times New Roman" w:hAnsi="Times New Roman" w:eastAsia="微软雅黑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μm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3.3 管螺纹表面不应有凹痕、断牙等明显缺陷。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4.法兰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4.1法兰表面粗糙度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Ra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不应大于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3.2</w:t>
      </w:r>
      <w:r>
        <w:rPr>
          <w:rFonts w:hint="default" w:ascii="Times New Roman" w:hAnsi="Times New Roman" w:eastAsia="微软雅黑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μm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.2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法兰密封表面不应有气孔、缩孔等缺陷。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3法兰连接尺寸应符合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15530.1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5.铸件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铜合金铸件应符合GB/T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12225的规定。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6.锻件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铜合金锻件应符合 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20078的规定。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7.零件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密封面表面不应有裂痕、气孔等缺陷，密封面表面粗糙度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Ra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不应大于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3.2</w:t>
      </w:r>
      <w:r>
        <w:rPr>
          <w:rFonts w:hint="default" w:ascii="Times New Roman" w:hAnsi="Times New Roman" w:eastAsia="微软雅黑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μm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.2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浮球表面不应有明显的影响使用性能的凹坑。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开启高度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浮球阀开启高度不应小于阀门实际通径的1/4。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bookmark31"/>
      <w:bookmarkStart w:id="4" w:name="bookmark29"/>
      <w:bookmarkStart w:id="5" w:name="bookmark30"/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9.装配</w:t>
      </w:r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产品装配应牢固，活动部位应灵活、无卡阻。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10.试验方法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10.1 壳体强度、密封性能、低压密封性能、浮球密封性能、最小开启压力、关闭压力、浮球浸入水中体积应在相应的压力试验台上，用目测法检查。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10.2 管螺纹尺寸用相应精度的管螺纹量规检查。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10.3管螺纹表面粗糙度、法兰表面粗糙度、密封面表面粗糙度用粗糙度标准块对比检查，有争议时用轮廓仪进行评定。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10.4 管螺纹表面质量、法兰表面质量、零件密封面表面质量、浮球表面质量用目测法检查。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10.5 法兰连接尺寸用相应精度的量具检查。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10.6铜合金铸件按GB/T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12225规定的方法检测。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10.7铜合金锻件按GB/T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20078规定的方法检测。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10.8 浮球阀开启高度用游标卡尺检测。</w:t>
      </w:r>
    </w:p>
    <w:p>
      <w:pPr>
        <w:pStyle w:val="14"/>
        <w:spacing w:line="24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10.9装配采用手感与目测相结合的方法检测。</w:t>
      </w:r>
    </w:p>
    <w:p>
      <w:pPr>
        <w:pStyle w:val="14"/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标志</w:t>
      </w:r>
    </w:p>
    <w:p>
      <w:pPr>
        <w:pStyle w:val="14"/>
        <w:numPr>
          <w:ilvl w:val="0"/>
          <w:numId w:val="0"/>
        </w:numPr>
        <w:spacing w:line="240" w:lineRule="auto"/>
        <w:ind w:left="630" w:leftChars="0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11.1产品上应标有如下标志:商标、公称尺寸、 公称压力。</w:t>
      </w:r>
    </w:p>
    <w:p>
      <w:pPr>
        <w:pStyle w:val="14"/>
        <w:numPr>
          <w:ilvl w:val="0"/>
          <w:numId w:val="0"/>
        </w:numPr>
        <w:spacing w:line="240" w:lineRule="auto"/>
        <w:ind w:left="630" w:leftChars="0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11.2 包装盒或包装箱上应标有下列标志:产品名称、规格、代号；产品数量、质量；产品商标或公司名称、地址；产品执行标准编号。</w:t>
      </w:r>
    </w:p>
    <w:p>
      <w:pPr>
        <w:pStyle w:val="14"/>
        <w:numPr>
          <w:ilvl w:val="0"/>
          <w:numId w:val="0"/>
        </w:numPr>
        <w:spacing w:line="240" w:lineRule="auto"/>
        <w:ind w:left="630" w:leftChars="0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11.3 产品合格证上应标有检验员印记和出厂日期。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2.卫生要求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用于饮用水等领域时，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浮球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阀的卫生要求应符合GB/T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17219的规定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，并提供相关证明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 w:eastAsia="zh-CN"/>
        </w:rPr>
        <w:t>其他</w:t>
      </w:r>
    </w:p>
    <w:p>
      <w:p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Times New Roman" w:eastAsiaTheme="minorEastAsia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shd w:val="clear" w:color="auto" w:fill="FFFFFF"/>
        </w:rPr>
        <w:t>其他未尽事宜按照</w:t>
      </w:r>
      <w:r>
        <w:rPr>
          <w:rFonts w:hint="default" w:ascii="Times New Roman" w:hAnsi="Times New Roman" w:cs="Times New Roman" w:eastAsiaTheme="minorEastAsia"/>
          <w:sz w:val="24"/>
          <w:szCs w:val="24"/>
          <w:shd w:val="clear" w:color="auto" w:fill="FFFFFF"/>
          <w:lang w:val="en-US" w:eastAsia="zh-CN"/>
        </w:rPr>
        <w:t>设计要求或国标、行标规定</w:t>
      </w:r>
      <w:r>
        <w:rPr>
          <w:rFonts w:hint="default" w:ascii="Times New Roman" w:hAnsi="Times New Roman" w:cs="Times New Roman" w:eastAsiaTheme="minorEastAsia"/>
          <w:sz w:val="24"/>
          <w:szCs w:val="24"/>
          <w:shd w:val="clear" w:color="auto" w:fill="FFFFFF"/>
        </w:rPr>
        <w:t>。</w:t>
      </w:r>
    </w:p>
    <w:p>
      <w:p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质保期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满足招标单位提出的要求，且不低于行业同类产品的质保年限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4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4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技术管理部</w:t>
      </w:r>
    </w:p>
    <w:p>
      <w:pPr>
        <w:pStyle w:val="14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2025年4月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6544310</wp:posOffset>
              </wp:positionH>
              <wp:positionV relativeFrom="page">
                <wp:posOffset>9861550</wp:posOffset>
              </wp:positionV>
              <wp:extent cx="42545" cy="774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515.3pt;margin-top:776.5pt;height:6.1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whYiY2QAAAA8BAAAPAAAAAAAAAAEAIAAAACIAAABkcnMvZG93bnJldi54bWxQSwEC&#10;FAAUAAAACACHTuJAWlpI9boBAACV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147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WZhYTI0NTE5ZjQyOTlmZDAzM2Q1MGY3ZDc1MzkifQ=="/>
  </w:docVars>
  <w:rsids>
    <w:rsidRoot w:val="35590840"/>
    <w:rsid w:val="002D70FB"/>
    <w:rsid w:val="00502DC9"/>
    <w:rsid w:val="00937AD7"/>
    <w:rsid w:val="0094108C"/>
    <w:rsid w:val="00CB0B1A"/>
    <w:rsid w:val="00EF6054"/>
    <w:rsid w:val="01515BCD"/>
    <w:rsid w:val="01E8094A"/>
    <w:rsid w:val="02ED01E1"/>
    <w:rsid w:val="03192B60"/>
    <w:rsid w:val="03490CF7"/>
    <w:rsid w:val="040C7CA3"/>
    <w:rsid w:val="041F70CB"/>
    <w:rsid w:val="042D00C3"/>
    <w:rsid w:val="05475CED"/>
    <w:rsid w:val="06666773"/>
    <w:rsid w:val="069872E2"/>
    <w:rsid w:val="082D7143"/>
    <w:rsid w:val="0ADD34E8"/>
    <w:rsid w:val="0B841EBE"/>
    <w:rsid w:val="10D47CA5"/>
    <w:rsid w:val="10F37D66"/>
    <w:rsid w:val="113822EE"/>
    <w:rsid w:val="119A3C9E"/>
    <w:rsid w:val="132A6C91"/>
    <w:rsid w:val="135D7C6C"/>
    <w:rsid w:val="147D7A78"/>
    <w:rsid w:val="14966963"/>
    <w:rsid w:val="15344DFD"/>
    <w:rsid w:val="15DF7FFA"/>
    <w:rsid w:val="162A72E7"/>
    <w:rsid w:val="1767331C"/>
    <w:rsid w:val="178C553A"/>
    <w:rsid w:val="17AB341A"/>
    <w:rsid w:val="17CC67E6"/>
    <w:rsid w:val="1A193BF8"/>
    <w:rsid w:val="1A3878E1"/>
    <w:rsid w:val="1B884C8D"/>
    <w:rsid w:val="1BF36DFC"/>
    <w:rsid w:val="1CB97484"/>
    <w:rsid w:val="1D186ECF"/>
    <w:rsid w:val="1DCE662F"/>
    <w:rsid w:val="1DF732B8"/>
    <w:rsid w:val="1E7A61E8"/>
    <w:rsid w:val="1F7A7BB9"/>
    <w:rsid w:val="20404157"/>
    <w:rsid w:val="218A07EF"/>
    <w:rsid w:val="21A30DF8"/>
    <w:rsid w:val="2223037D"/>
    <w:rsid w:val="229C6C77"/>
    <w:rsid w:val="230E292F"/>
    <w:rsid w:val="234C4B21"/>
    <w:rsid w:val="24FF7500"/>
    <w:rsid w:val="258F2B63"/>
    <w:rsid w:val="25B979F7"/>
    <w:rsid w:val="268273E7"/>
    <w:rsid w:val="27221105"/>
    <w:rsid w:val="27AC4587"/>
    <w:rsid w:val="28447153"/>
    <w:rsid w:val="28907962"/>
    <w:rsid w:val="2A0500BF"/>
    <w:rsid w:val="2A9D5AE1"/>
    <w:rsid w:val="2AAF11CD"/>
    <w:rsid w:val="2B1A11DC"/>
    <w:rsid w:val="2B7D4283"/>
    <w:rsid w:val="2BA657C5"/>
    <w:rsid w:val="2DE669DC"/>
    <w:rsid w:val="2F47752A"/>
    <w:rsid w:val="2FF24A1C"/>
    <w:rsid w:val="3053179E"/>
    <w:rsid w:val="30C23E8A"/>
    <w:rsid w:val="311B56E6"/>
    <w:rsid w:val="31647344"/>
    <w:rsid w:val="321B3587"/>
    <w:rsid w:val="323F1AC8"/>
    <w:rsid w:val="326949C5"/>
    <w:rsid w:val="32AD35FE"/>
    <w:rsid w:val="335702CA"/>
    <w:rsid w:val="340E4E6D"/>
    <w:rsid w:val="34FC6A6B"/>
    <w:rsid w:val="354C5C0C"/>
    <w:rsid w:val="35590840"/>
    <w:rsid w:val="36FC58BF"/>
    <w:rsid w:val="38114C61"/>
    <w:rsid w:val="39572A1A"/>
    <w:rsid w:val="39BF18AF"/>
    <w:rsid w:val="3AAE7133"/>
    <w:rsid w:val="3B7C206D"/>
    <w:rsid w:val="3BA86199"/>
    <w:rsid w:val="3C1719A7"/>
    <w:rsid w:val="3F471133"/>
    <w:rsid w:val="3FEF06B0"/>
    <w:rsid w:val="404D65EE"/>
    <w:rsid w:val="411962C3"/>
    <w:rsid w:val="413F2F03"/>
    <w:rsid w:val="42602966"/>
    <w:rsid w:val="42B4132B"/>
    <w:rsid w:val="43A1661B"/>
    <w:rsid w:val="43BC4F04"/>
    <w:rsid w:val="45B44C78"/>
    <w:rsid w:val="45C73FC5"/>
    <w:rsid w:val="4617120F"/>
    <w:rsid w:val="47592F34"/>
    <w:rsid w:val="47FE407E"/>
    <w:rsid w:val="495A02AF"/>
    <w:rsid w:val="4A746031"/>
    <w:rsid w:val="4A9621F0"/>
    <w:rsid w:val="4AF262BA"/>
    <w:rsid w:val="4CBA444F"/>
    <w:rsid w:val="4D726118"/>
    <w:rsid w:val="4E0453E4"/>
    <w:rsid w:val="50FD0233"/>
    <w:rsid w:val="53450627"/>
    <w:rsid w:val="5461149F"/>
    <w:rsid w:val="560127FE"/>
    <w:rsid w:val="56297FCE"/>
    <w:rsid w:val="58993B1A"/>
    <w:rsid w:val="5969186D"/>
    <w:rsid w:val="59D05796"/>
    <w:rsid w:val="5A0945B7"/>
    <w:rsid w:val="5B6B5DA5"/>
    <w:rsid w:val="5C03403B"/>
    <w:rsid w:val="5D470FAB"/>
    <w:rsid w:val="5FA72945"/>
    <w:rsid w:val="60BB0A35"/>
    <w:rsid w:val="61074AF0"/>
    <w:rsid w:val="613C540F"/>
    <w:rsid w:val="615B02C6"/>
    <w:rsid w:val="61EE1106"/>
    <w:rsid w:val="622C5484"/>
    <w:rsid w:val="62674F99"/>
    <w:rsid w:val="63ED4B27"/>
    <w:rsid w:val="645F2357"/>
    <w:rsid w:val="64F8477D"/>
    <w:rsid w:val="65014476"/>
    <w:rsid w:val="65D83093"/>
    <w:rsid w:val="66F82907"/>
    <w:rsid w:val="67A93F57"/>
    <w:rsid w:val="67E84DD0"/>
    <w:rsid w:val="698B2D92"/>
    <w:rsid w:val="698D7BFE"/>
    <w:rsid w:val="6A1B7B19"/>
    <w:rsid w:val="6A4E5643"/>
    <w:rsid w:val="6B5169F8"/>
    <w:rsid w:val="6B5C5CEE"/>
    <w:rsid w:val="6B936CF1"/>
    <w:rsid w:val="6BFD57B7"/>
    <w:rsid w:val="6CA00FD6"/>
    <w:rsid w:val="6D7A432B"/>
    <w:rsid w:val="6DE972E3"/>
    <w:rsid w:val="6FA85423"/>
    <w:rsid w:val="707D2817"/>
    <w:rsid w:val="7217506B"/>
    <w:rsid w:val="73ED07EB"/>
    <w:rsid w:val="74F715C8"/>
    <w:rsid w:val="75B2641E"/>
    <w:rsid w:val="75C313A2"/>
    <w:rsid w:val="77AC0729"/>
    <w:rsid w:val="788850EF"/>
    <w:rsid w:val="79080E04"/>
    <w:rsid w:val="7A0450B9"/>
    <w:rsid w:val="7A866222"/>
    <w:rsid w:val="7AD6318A"/>
    <w:rsid w:val="7AFA4A88"/>
    <w:rsid w:val="7B986B73"/>
    <w:rsid w:val="7CC1457E"/>
    <w:rsid w:val="7CC62243"/>
    <w:rsid w:val="7D670DDF"/>
    <w:rsid w:val="7D8738A4"/>
    <w:rsid w:val="7E575843"/>
    <w:rsid w:val="7F1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unhideWhenUsed/>
    <w:qFormat/>
    <w:uiPriority w:val="99"/>
    <w:rPr>
      <w:sz w:val="2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  <w:bCs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5">
    <w:name w:val="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6">
    <w:name w:val="表头"/>
    <w:basedOn w:val="1"/>
    <w:qFormat/>
    <w:uiPriority w:val="0"/>
    <w:pPr>
      <w:spacing w:before="160" w:after="60" w:line="312" w:lineRule="exact"/>
      <w:jc w:val="center"/>
    </w:pPr>
    <w:rPr>
      <w:rFonts w:ascii="EU-F1" w:eastAsia="黑体"/>
      <w:szCs w:val="21"/>
    </w:rPr>
  </w:style>
  <w:style w:type="paragraph" w:customStyle="1" w:styleId="17">
    <w:name w:val="章标题"/>
    <w:next w:val="18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8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样式2"/>
    <w:basedOn w:val="1"/>
    <w:qFormat/>
    <w:uiPriority w:val="0"/>
    <w:pPr>
      <w:widowControl/>
      <w:spacing w:line="312" w:lineRule="exact"/>
    </w:pPr>
    <w:rPr>
      <w:rFonts w:ascii="EU-F1" w:eastAsia="黑体"/>
      <w:color w:val="000000"/>
      <w:kern w:val="44"/>
      <w:szCs w:val="21"/>
    </w:rPr>
  </w:style>
  <w:style w:type="paragraph" w:customStyle="1" w:styleId="20">
    <w:name w:val="样式 3"/>
    <w:basedOn w:val="1"/>
    <w:autoRedefine/>
    <w:semiHidden/>
    <w:qFormat/>
    <w:uiPriority w:val="0"/>
    <w:pPr>
      <w:topLinePunct/>
      <w:ind w:left="840" w:hanging="420"/>
    </w:pPr>
    <w:rPr>
      <w:kern w:val="21"/>
      <w:szCs w:val="21"/>
    </w:rPr>
  </w:style>
  <w:style w:type="paragraph" w:customStyle="1" w:styleId="21">
    <w:name w:val="BodyText"/>
    <w:basedOn w:val="1"/>
    <w:qFormat/>
    <w:uiPriority w:val="0"/>
    <w:pPr>
      <w:widowControl/>
      <w:spacing w:before="180" w:after="180"/>
      <w:jc w:val="left"/>
      <w:textAlignment w:val="baseline"/>
    </w:pPr>
    <w:rPr>
      <w:rFonts w:ascii="Calibri" w:hAnsi="Calibri" w:eastAsia="宋体"/>
      <w:kern w:val="0"/>
      <w:sz w:val="24"/>
      <w:szCs w:val="24"/>
      <w:lang w:eastAsia="en-US" w:bidi="ar-SA"/>
    </w:rPr>
  </w:style>
  <w:style w:type="character" w:customStyle="1" w:styleId="22">
    <w:name w:val="NormalCharacter"/>
    <w:link w:val="1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Body text|2"/>
    <w:basedOn w:val="1"/>
    <w:qFormat/>
    <w:uiPriority w:val="0"/>
    <w:pPr>
      <w:widowControl w:val="0"/>
      <w:shd w:val="clear" w:color="auto" w:fill="auto"/>
      <w:spacing w:line="322" w:lineRule="auto"/>
      <w:ind w:firstLine="310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line="32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5">
    <w:name w:val="Heading #2|1"/>
    <w:basedOn w:val="1"/>
    <w:autoRedefine/>
    <w:qFormat/>
    <w:uiPriority w:val="0"/>
    <w:pPr>
      <w:widowControl w:val="0"/>
      <w:shd w:val="clear" w:color="auto" w:fill="auto"/>
      <w:spacing w:after="180"/>
      <w:outlineLvl w:val="1"/>
    </w:pPr>
    <w:rPr>
      <w:rFonts w:ascii="宋体" w:hAnsi="宋体" w:eastAsia="宋体" w:cs="宋体"/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7">
    <w:name w:val="Other|1"/>
    <w:basedOn w:val="1"/>
    <w:autoRedefine/>
    <w:qFormat/>
    <w:uiPriority w:val="0"/>
    <w:pPr>
      <w:widowControl w:val="0"/>
      <w:shd w:val="clear" w:color="auto" w:fill="auto"/>
      <w:spacing w:line="32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1503</Words>
  <Characters>1961</Characters>
  <Lines>0</Lines>
  <Paragraphs>0</Paragraphs>
  <TotalTime>0</TotalTime>
  <ScaleCrop>false</ScaleCrop>
  <LinksUpToDate>false</LinksUpToDate>
  <CharactersWithSpaces>2094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2017-07-18T00:20:00Z</dcterms:created>
  <dc:creator>Administrator</dc:creator>
  <cp:lastModifiedBy>技术部</cp:lastModifiedBy>
  <dcterms:modified xsi:type="dcterms:W3CDTF">2025-04-22T01:27:23Z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78497D1BF4A34583BCCD8A0BF76F5D9F_13</vt:lpwstr>
  </property>
  <property fmtid="{D5CDD505-2E9C-101B-9397-08002B2CF9AE}" pid="4" name="KSOTemplateDocerSaveRecord">
    <vt:lpwstr>eyJoZGlkIjoiOTJkMzRjNGIwYTkyOWZlMDNmMzAyOTUzNTNiOTBkN2MiLCJ1c2VySWQiOiI2MjUwNjA4NDgifQ==</vt:lpwstr>
  </property>
</Properties>
</file>