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30"/>
          <w:szCs w:val="30"/>
        </w:rPr>
      </w:pPr>
      <w:r>
        <w:rPr>
          <w:rFonts w:hint="eastAsia" w:ascii="宋体" w:hAnsi="宋体"/>
          <w:b/>
          <w:sz w:val="30"/>
          <w:szCs w:val="30"/>
        </w:rPr>
        <w:t>PPR管材</w:t>
      </w:r>
      <w:r>
        <w:rPr>
          <w:rFonts w:hint="eastAsia" w:ascii="宋体" w:hAnsi="宋体"/>
          <w:b/>
          <w:sz w:val="30"/>
          <w:szCs w:val="30"/>
          <w:lang w:eastAsia="zh-CN"/>
        </w:rPr>
        <w:t>、</w:t>
      </w:r>
      <w:r>
        <w:rPr>
          <w:rFonts w:hint="eastAsia" w:ascii="宋体" w:hAnsi="宋体"/>
          <w:b/>
          <w:sz w:val="30"/>
          <w:szCs w:val="30"/>
          <w:lang w:val="en-US" w:eastAsia="zh-CN"/>
        </w:rPr>
        <w:t>管件</w:t>
      </w:r>
      <w:r>
        <w:rPr>
          <w:rFonts w:hint="eastAsia" w:ascii="宋体" w:hAnsi="宋体"/>
          <w:b/>
          <w:sz w:val="30"/>
          <w:szCs w:val="30"/>
        </w:rPr>
        <w:t>技术要求</w:t>
      </w:r>
    </w:p>
    <w:p>
      <w:pPr>
        <w:numPr>
          <w:ilvl w:val="0"/>
          <w:numId w:val="0"/>
        </w:numPr>
        <w:jc w:val="left"/>
        <w:rPr>
          <w:rFonts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kern w:val="2"/>
          <w:sz w:val="24"/>
          <w:szCs w:val="24"/>
          <w:lang w:val="en-US" w:eastAsia="zh-CN" w:bidi="ar-SA"/>
        </w:rPr>
        <w:t>一</w:t>
      </w:r>
      <w:r>
        <w:rPr>
          <w:rFonts w:hint="eastAsia" w:asciiTheme="minorEastAsia" w:hAnsiTheme="minorEastAsia" w:eastAsiaTheme="minorEastAsia" w:cstheme="minorEastAsia"/>
          <w:b/>
          <w:bCs/>
          <w:color w:val="000000"/>
          <w:kern w:val="2"/>
          <w:sz w:val="24"/>
          <w:szCs w:val="24"/>
          <w:lang w:val="en-US" w:eastAsia="zh-CN" w:bidi="ar-SA"/>
        </w:rPr>
        <w:t>、</w:t>
      </w:r>
      <w:r>
        <w:rPr>
          <w:rFonts w:hint="eastAsia" w:asciiTheme="minorEastAsia" w:hAnsiTheme="minorEastAsia" w:eastAsiaTheme="minorEastAsia" w:cstheme="minorEastAsia"/>
          <w:b/>
          <w:bCs/>
          <w:color w:val="000000"/>
          <w:sz w:val="24"/>
        </w:rPr>
        <w:t>遵循标准</w:t>
      </w:r>
    </w:p>
    <w:p>
      <w:pPr>
        <w:ind w:firstLine="480" w:firstLineChars="200"/>
        <w:jc w:val="left"/>
        <w:rPr>
          <w:rFonts w:hint="default" w:ascii="Times New Roman" w:hAnsi="Times New Roman" w:cs="Times New Roman" w:eastAsiaTheme="minorEastAsia"/>
          <w:color w:val="000000" w:themeColor="text1"/>
          <w:sz w:val="24"/>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GB/T 18742.1-2017《冷热水用聚丙烯管道系统 第1部分：总则》</w:t>
      </w:r>
    </w:p>
    <w:p>
      <w:pPr>
        <w:ind w:firstLine="480" w:firstLineChars="200"/>
        <w:jc w:val="left"/>
        <w:rPr>
          <w:rFonts w:hint="default" w:ascii="Times New Roman" w:hAnsi="Times New Roman" w:cs="Times New Roman" w:eastAsiaTheme="minorEastAsia"/>
          <w:color w:val="000000" w:themeColor="text1"/>
          <w:sz w:val="24"/>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GB/T 18742.2-2017《</w:t>
      </w:r>
      <w:r>
        <w:rPr>
          <w:rFonts w:hint="default" w:ascii="Times New Roman" w:hAnsi="Times New Roman" w:cs="Times New Roman" w:eastAsiaTheme="minorEastAsia"/>
          <w:color w:val="000000" w:themeColor="text1"/>
          <w:sz w:val="24"/>
          <w:highlight w:val="none"/>
          <w14:textFill>
            <w14:solidFill>
              <w14:schemeClr w14:val="tx1"/>
            </w14:solidFill>
          </w14:textFill>
        </w:rPr>
        <w:t>冷热水用聚丙烯管道系统 第2部分：管材</w:t>
      </w: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w:t>
      </w:r>
    </w:p>
    <w:p>
      <w:pPr>
        <w:ind w:firstLine="480" w:firstLineChars="200"/>
        <w:jc w:val="left"/>
        <w:rPr>
          <w:rFonts w:hint="default" w:ascii="Times New Roman" w:hAnsi="Times New Roman" w:cs="Times New Roman" w:eastAsiaTheme="minorEastAsia"/>
          <w:color w:val="000000" w:themeColor="text1"/>
          <w:sz w:val="24"/>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GB/T 18742.3-2017《</w:t>
      </w:r>
      <w:r>
        <w:rPr>
          <w:rFonts w:hint="default" w:ascii="Times New Roman" w:hAnsi="Times New Roman" w:cs="Times New Roman" w:eastAsiaTheme="minorEastAsia"/>
          <w:color w:val="000000" w:themeColor="text1"/>
          <w:sz w:val="24"/>
          <w:highlight w:val="none"/>
          <w14:textFill>
            <w14:solidFill>
              <w14:schemeClr w14:val="tx1"/>
            </w14:solidFill>
          </w14:textFill>
        </w:rPr>
        <w:t>冷热水用聚丙烯管道系统 第3部分：管件</w:t>
      </w:r>
      <w:r>
        <w:rPr>
          <w:rFonts w:hint="default" w:ascii="Times New Roman" w:hAnsi="Times New Roman" w:cs="Times New Roman" w:eastAsiaTheme="minorEastAsia"/>
          <w:color w:val="000000" w:themeColor="text1"/>
          <w:sz w:val="24"/>
          <w:highlight w:val="none"/>
          <w:lang w:val="zh-CN"/>
          <w14:textFill>
            <w14:solidFill>
              <w14:schemeClr w14:val="tx1"/>
            </w14:solidFill>
          </w14:textFill>
        </w:rPr>
        <w:t>》</w:t>
      </w:r>
    </w:p>
    <w:p>
      <w:pPr>
        <w:ind w:firstLine="480" w:firstLineChars="200"/>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GB/T 17219-1998《生活饮用水输配水设备及防护材料卫生安全性评价标准》</w:t>
      </w:r>
    </w:p>
    <w:p>
      <w:pPr>
        <w:numPr>
          <w:ilvl w:val="0"/>
          <w:numId w:val="0"/>
        </w:numPr>
        <w:jc w:val="left"/>
        <w:rPr>
          <w:rFonts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kern w:val="2"/>
          <w:sz w:val="24"/>
          <w:szCs w:val="24"/>
          <w:lang w:val="en-US" w:eastAsia="zh-CN" w:bidi="ar-SA"/>
        </w:rPr>
        <w:t>二</w:t>
      </w:r>
      <w:r>
        <w:rPr>
          <w:rFonts w:hint="eastAsia" w:asciiTheme="minorEastAsia" w:hAnsiTheme="minorEastAsia" w:eastAsiaTheme="minorEastAsia" w:cstheme="minorEastAsia"/>
          <w:b/>
          <w:bCs/>
          <w:color w:val="000000"/>
          <w:kern w:val="2"/>
          <w:sz w:val="24"/>
          <w:szCs w:val="24"/>
          <w:lang w:val="en-US" w:eastAsia="zh-CN" w:bidi="ar-SA"/>
        </w:rPr>
        <w:t>、</w:t>
      </w:r>
      <w:r>
        <w:rPr>
          <w:rFonts w:hint="eastAsia" w:asciiTheme="minorEastAsia" w:hAnsiTheme="minorEastAsia" w:eastAsiaTheme="minorEastAsia" w:cstheme="minorEastAsia"/>
          <w:b/>
          <w:bCs/>
          <w:color w:val="000000"/>
          <w:sz w:val="24"/>
        </w:rPr>
        <w:t>技术要求</w:t>
      </w:r>
    </w:p>
    <w:p>
      <w:pPr>
        <w:ind w:firstLine="480" w:firstLineChars="20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color w:val="000000" w:themeColor="text1"/>
          <w:sz w:val="24"/>
          <w14:textFill>
            <w14:solidFill>
              <w14:schemeClr w14:val="tx1"/>
            </w14:solidFill>
          </w14:textFill>
        </w:rPr>
        <w:t>1.材质：</w:t>
      </w:r>
      <w:r>
        <w:rPr>
          <w:rFonts w:hint="default" w:ascii="Times New Roman" w:hAnsi="Times New Roman" w:cs="Times New Roman" w:eastAsiaTheme="minorEastAsia"/>
          <w:sz w:val="24"/>
        </w:rPr>
        <w:t>管材</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管件</w:t>
      </w:r>
      <w:r>
        <w:rPr>
          <w:rFonts w:hint="default" w:ascii="Times New Roman" w:hAnsi="Times New Roman" w:cs="Times New Roman" w:eastAsiaTheme="minorEastAsia"/>
          <w:color w:val="000000" w:themeColor="text1"/>
          <w:sz w:val="24"/>
          <w14:textFill>
            <w14:solidFill>
              <w14:schemeClr w14:val="tx1"/>
            </w14:solidFill>
          </w14:textFill>
        </w:rPr>
        <w:t>原材料采用优质品牌，使用寿命为50年且不含有回用料、再生料</w:t>
      </w:r>
      <w:r>
        <w:rPr>
          <w:rFonts w:hint="default" w:ascii="Times New Roman" w:hAnsi="Times New Roman" w:cs="Times New Roman" w:eastAsiaTheme="minorEastAsia"/>
          <w:color w:val="0000FF"/>
          <w:sz w:val="24"/>
        </w:rPr>
        <w:t>。</w:t>
      </w:r>
      <w:r>
        <w:rPr>
          <w:rFonts w:hint="default" w:ascii="Times New Roman" w:hAnsi="Times New Roman" w:cs="Times New Roman" w:eastAsiaTheme="minorEastAsia"/>
          <w:sz w:val="24"/>
          <w:lang w:val="en-US" w:eastAsia="zh-CN"/>
        </w:rPr>
        <w:t>管件金属部分的材料在管道使用过程中对塑料管道材料不应造成降解或老化。</w:t>
      </w:r>
    </w:p>
    <w:p>
      <w:pPr>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2.外观</w:t>
      </w:r>
    </w:p>
    <w:p>
      <w:pPr>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管材</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表面颜色应均匀一致，不应有明显色差。管材的内外表面应光滑、平整，不应有凹陷、气泡、杂质和其他影响产品性能的表面缺陷。</w:t>
      </w:r>
      <w:r>
        <w:rPr>
          <w:rFonts w:hint="default" w:ascii="Times New Roman" w:hAnsi="Times New Roman" w:cs="Times New Roman" w:eastAsiaTheme="minorEastAsia"/>
          <w:color w:val="000000" w:themeColor="text1"/>
          <w:sz w:val="24"/>
          <w14:textFill>
            <w14:solidFill>
              <w14:schemeClr w14:val="tx1"/>
            </w14:solidFill>
          </w14:textFill>
        </w:rPr>
        <w:t>管</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材</w:t>
      </w:r>
      <w:r>
        <w:rPr>
          <w:rFonts w:hint="default" w:ascii="Times New Roman" w:hAnsi="Times New Roman" w:cs="Times New Roman" w:eastAsiaTheme="minorEastAsia"/>
          <w:color w:val="000000" w:themeColor="text1"/>
          <w:sz w:val="24"/>
          <w14:textFill>
            <w14:solidFill>
              <w14:schemeClr w14:val="tx1"/>
            </w14:solidFill>
          </w14:textFill>
        </w:rPr>
        <w:t>端</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面</w:t>
      </w:r>
      <w:r>
        <w:rPr>
          <w:rFonts w:hint="default" w:ascii="Times New Roman" w:hAnsi="Times New Roman" w:cs="Times New Roman" w:eastAsiaTheme="minorEastAsia"/>
          <w:color w:val="000000" w:themeColor="text1"/>
          <w:sz w:val="24"/>
          <w14:textFill>
            <w14:solidFill>
              <w14:schemeClr w14:val="tx1"/>
            </w14:solidFill>
          </w14:textFill>
        </w:rPr>
        <w:t>应切割平整，并与管轴线垂直。</w:t>
      </w:r>
    </w:p>
    <w:p>
      <w:pPr>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管件</w:t>
      </w:r>
      <w:r>
        <w:rPr>
          <w:rFonts w:hint="default" w:ascii="Times New Roman" w:hAnsi="Times New Roman" w:cs="Times New Roman" w:eastAsiaTheme="minorEastAsia"/>
          <w:color w:val="000000" w:themeColor="text1"/>
          <w:sz w:val="24"/>
          <w14:textFill>
            <w14:solidFill>
              <w14:schemeClr w14:val="tx1"/>
            </w14:solidFill>
          </w14:textFill>
        </w:rPr>
        <w:t>表面应光滑</w:t>
      </w:r>
      <w:r>
        <w:rPr>
          <w:rFonts w:hint="default"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平整</w:t>
      </w:r>
      <w:r>
        <w:rPr>
          <w:rFonts w:hint="default" w:ascii="Times New Roman" w:hAnsi="Times New Roman" w:cs="Times New Roman" w:eastAsiaTheme="minorEastAsia"/>
          <w:color w:val="000000" w:themeColor="text1"/>
          <w:sz w:val="24"/>
          <w14:textFill>
            <w14:solidFill>
              <w14:schemeClr w14:val="tx1"/>
            </w14:solidFill>
          </w14:textFill>
        </w:rPr>
        <w:t>，不允许有</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裂纹、</w:t>
      </w:r>
      <w:r>
        <w:rPr>
          <w:rFonts w:hint="default" w:ascii="Times New Roman" w:hAnsi="Times New Roman" w:cs="Times New Roman" w:eastAsiaTheme="minorEastAsia"/>
          <w:color w:val="000000" w:themeColor="text1"/>
          <w:sz w:val="24"/>
          <w14:textFill>
            <w14:solidFill>
              <w14:schemeClr w14:val="tx1"/>
            </w14:solidFill>
          </w14:textFill>
        </w:rPr>
        <w:t>气泡、</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脱皮和</w:t>
      </w:r>
      <w:r>
        <w:rPr>
          <w:rFonts w:hint="default" w:ascii="Times New Roman" w:hAnsi="Times New Roman" w:cs="Times New Roman" w:eastAsiaTheme="minorEastAsia"/>
          <w:color w:val="000000" w:themeColor="text1"/>
          <w:sz w:val="24"/>
          <w14:textFill>
            <w14:solidFill>
              <w14:schemeClr w14:val="tx1"/>
            </w14:solidFill>
          </w14:textFill>
        </w:rPr>
        <w:t>明显的</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杂质</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严重的缩形以及色泽不均</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分解变色</w:t>
      </w:r>
      <w:r>
        <w:rPr>
          <w:rFonts w:hint="default" w:ascii="Times New Roman" w:hAnsi="Times New Roman" w:cs="Times New Roman" w:eastAsiaTheme="minorEastAsia"/>
          <w:color w:val="000000" w:themeColor="text1"/>
          <w:sz w:val="24"/>
          <w14:textFill>
            <w14:solidFill>
              <w14:schemeClr w14:val="tx1"/>
            </w14:solidFill>
          </w14:textFill>
        </w:rPr>
        <w:t>等缺陷。</w:t>
      </w:r>
    </w:p>
    <w:p>
      <w:pPr>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3.静液压强度</w:t>
      </w:r>
    </w:p>
    <w:p>
      <w:pPr>
        <w:ind w:firstLine="480" w:firstLineChars="200"/>
        <w:jc w:val="left"/>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3.1 PPR管材的静</w:t>
      </w:r>
      <w:r>
        <w:rPr>
          <w:rFonts w:hint="default" w:ascii="Times New Roman" w:hAnsi="Times New Roman" w:cs="Times New Roman" w:eastAsiaTheme="minorEastAsia"/>
          <w:color w:val="000000" w:themeColor="text1"/>
          <w:sz w:val="24"/>
          <w14:textFill>
            <w14:solidFill>
              <w14:schemeClr w14:val="tx1"/>
            </w14:solidFill>
          </w14:textFill>
        </w:rPr>
        <w:t>液压</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强度</w:t>
      </w:r>
    </w:p>
    <w:p>
      <w:pPr>
        <w:ind w:firstLine="480" w:firstLineChars="200"/>
        <w:jc w:val="left"/>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PPR管材在20℃，</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静液压</w:t>
      </w:r>
      <w:r>
        <w:rPr>
          <w:rFonts w:hint="default" w:ascii="Times New Roman" w:hAnsi="Times New Roman" w:cs="Times New Roman" w:eastAsiaTheme="minorEastAsia"/>
          <w:color w:val="000000" w:themeColor="text1"/>
          <w:sz w:val="24"/>
          <w14:textFill>
            <w14:solidFill>
              <w14:schemeClr w14:val="tx1"/>
            </w14:solidFill>
          </w14:textFill>
        </w:rPr>
        <w:t>应力16.0MPa</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1h</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无渗漏无破裂</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p>
    <w:p>
      <w:pPr>
        <w:ind w:firstLine="480" w:firstLineChars="200"/>
        <w:jc w:val="left"/>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PPR管材在95℃，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静液压</w:t>
      </w:r>
      <w:r>
        <w:rPr>
          <w:rFonts w:hint="default" w:ascii="Times New Roman" w:hAnsi="Times New Roman" w:cs="Times New Roman" w:eastAsiaTheme="minorEastAsia"/>
          <w:color w:val="000000" w:themeColor="text1"/>
          <w:sz w:val="24"/>
          <w14:textFill>
            <w14:solidFill>
              <w14:schemeClr w14:val="tx1"/>
            </w14:solidFill>
          </w14:textFill>
        </w:rPr>
        <w:t>应力4.3MPa</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22h</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无渗漏无破裂</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p>
    <w:p>
      <w:pPr>
        <w:jc w:val="left"/>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PPR管材在95℃，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静液压</w:t>
      </w:r>
      <w:r>
        <w:rPr>
          <w:rFonts w:hint="default" w:ascii="Times New Roman" w:hAnsi="Times New Roman" w:cs="Times New Roman" w:eastAsiaTheme="minorEastAsia"/>
          <w:color w:val="000000" w:themeColor="text1"/>
          <w:sz w:val="24"/>
          <w14:textFill>
            <w14:solidFill>
              <w14:schemeClr w14:val="tx1"/>
            </w14:solidFill>
          </w14:textFill>
        </w:rPr>
        <w:t>应力3.8MPa</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165h</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无渗漏无破裂</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p>
    <w:p>
      <w:pPr>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PPR管材在95℃，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静液压</w:t>
      </w:r>
      <w:r>
        <w:rPr>
          <w:rFonts w:hint="default" w:ascii="Times New Roman" w:hAnsi="Times New Roman" w:cs="Times New Roman" w:eastAsiaTheme="minorEastAsia"/>
          <w:color w:val="000000" w:themeColor="text1"/>
          <w:sz w:val="24"/>
          <w14:textFill>
            <w14:solidFill>
              <w14:schemeClr w14:val="tx1"/>
            </w14:solidFill>
          </w14:textFill>
        </w:rPr>
        <w:t>应力3.5MPa，1000h</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无渗漏无破裂。</w:t>
      </w:r>
    </w:p>
    <w:p>
      <w:pPr>
        <w:ind w:firstLine="480" w:firstLineChars="200"/>
        <w:jc w:val="lef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3.2 PPR管件的静液压强度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953"/>
        <w:gridCol w:w="1464"/>
        <w:gridCol w:w="142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管系列</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试验压力</w:t>
            </w:r>
            <w:r>
              <w:rPr>
                <w:rFonts w:hint="default" w:ascii="Times New Roman" w:hAnsi="Times New Roman" w:cs="Times New Roman" w:eastAsiaTheme="minorEastAsia"/>
                <w:color w:val="000000" w:themeColor="text1"/>
                <w:sz w:val="21"/>
                <w:szCs w:val="21"/>
                <w14:textFill>
                  <w14:solidFill>
                    <w14:schemeClr w14:val="tx1"/>
                  </w14:solidFill>
                </w14:textFill>
              </w:rPr>
              <w:t>MPa</w:t>
            </w:r>
          </w:p>
        </w:tc>
        <w:tc>
          <w:tcPr>
            <w:tcW w:w="1488"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试验温度</w:t>
            </w: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445"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试验时间h</w:t>
            </w:r>
          </w:p>
        </w:tc>
        <w:tc>
          <w:tcPr>
            <w:tcW w:w="1760"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w:t>
            </w:r>
          </w:p>
        </w:tc>
        <w:tc>
          <w:tcPr>
            <w:tcW w:w="1488"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w:t>
            </w:r>
          </w:p>
        </w:tc>
        <w:tc>
          <w:tcPr>
            <w:tcW w:w="1445"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w:t>
            </w:r>
          </w:p>
        </w:tc>
        <w:tc>
          <w:tcPr>
            <w:tcW w:w="1760"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无渗漏无破裂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3.2</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2.5</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6.4</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0.7</w:t>
            </w:r>
          </w:p>
        </w:tc>
        <w:tc>
          <w:tcPr>
            <w:tcW w:w="1488"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95</w:t>
            </w:r>
          </w:p>
        </w:tc>
        <w:tc>
          <w:tcPr>
            <w:tcW w:w="1445"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1000</w:t>
            </w:r>
          </w:p>
        </w:tc>
        <w:tc>
          <w:tcPr>
            <w:tcW w:w="1760" w:type="dxa"/>
            <w:vMerge w:val="restart"/>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无渗漏无破裂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0.88</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3.2</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1.09</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2.5</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w:t>
            </w:r>
          </w:p>
        </w:tc>
        <w:tc>
          <w:tcPr>
            <w:tcW w:w="1992"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1.75</w:t>
            </w:r>
          </w:p>
        </w:tc>
        <w:tc>
          <w:tcPr>
            <w:tcW w:w="1488"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445"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760" w:type="dxa"/>
            <w:vMerge w:val="continue"/>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r>
    </w:tbl>
    <w:p>
      <w:pPr>
        <w:ind w:firstLine="480" w:firstLineChars="200"/>
        <w:jc w:val="lef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4.PPR管材、管件的系统适应性</w:t>
      </w:r>
    </w:p>
    <w:p>
      <w:pPr>
        <w:ind w:firstLine="480" w:firstLineChars="200"/>
        <w:jc w:val="left"/>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管材与符合GB/T 18742.3规定的管件连接后进行</w:t>
      </w:r>
      <w:r>
        <w:rPr>
          <w:rFonts w:hint="eastAsia" w:ascii="Times New Roman" w:hAnsi="Times New Roman" w:cs="Times New Roman" w:eastAsiaTheme="minorEastAsia"/>
          <w:color w:val="000000" w:themeColor="text1"/>
          <w:sz w:val="24"/>
          <w14:textFill>
            <w14:solidFill>
              <w14:schemeClr w14:val="tx1"/>
            </w14:solidFill>
          </w14:textFill>
        </w:rPr>
        <w:t>内压试验</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cs="Times New Roman" w:eastAsiaTheme="minorEastAsia"/>
          <w:color w:val="000000" w:themeColor="text1"/>
          <w:sz w:val="24"/>
          <w14:textFill>
            <w14:solidFill>
              <w14:schemeClr w14:val="tx1"/>
            </w14:solidFill>
          </w14:textFill>
        </w:rPr>
        <w:t>PPR管材</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管件</w:t>
      </w:r>
      <w:r>
        <w:rPr>
          <w:rFonts w:hint="eastAsia" w:ascii="Times New Roman" w:hAnsi="Times New Roman" w:cs="Times New Roman" w:eastAsiaTheme="minorEastAsia"/>
          <w:color w:val="000000" w:themeColor="text1"/>
          <w:sz w:val="24"/>
          <w14:textFill>
            <w14:solidFill>
              <w14:schemeClr w14:val="tx1"/>
            </w14:solidFill>
          </w14:textFill>
        </w:rPr>
        <w:t>在</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 xml:space="preserve">试验温度 </w:t>
      </w:r>
      <w:r>
        <w:rPr>
          <w:rFonts w:hint="eastAsia" w:ascii="Times New Roman" w:hAnsi="Times New Roman" w:cs="Times New Roman" w:eastAsiaTheme="minorEastAsia"/>
          <w:color w:val="000000" w:themeColor="text1"/>
          <w:sz w:val="24"/>
          <w14:textFill>
            <w14:solidFill>
              <w14:schemeClr w14:val="tx1"/>
            </w14:solidFill>
          </w14:textFill>
        </w:rPr>
        <w:t>95℃，</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试验时间</w:t>
      </w:r>
      <w:r>
        <w:rPr>
          <w:rFonts w:hint="eastAsia" w:ascii="Times New Roman" w:hAnsi="Times New Roman" w:cs="Times New Roman" w:eastAsiaTheme="minorEastAsia"/>
          <w:color w:val="000000" w:themeColor="text1"/>
          <w:sz w:val="24"/>
          <w14:textFill>
            <w14:solidFill>
              <w14:schemeClr w14:val="tx1"/>
            </w14:solidFill>
          </w14:textFill>
        </w:rPr>
        <w:t>1000h，无渗漏无破裂</w:t>
      </w:r>
      <w:r>
        <w:rPr>
          <w:rFonts w:hint="eastAsia" w:ascii="Times New Roman" w:hAnsi="Times New Roman" w:cs="Times New Roman" w:eastAsiaTheme="minorEastAsia"/>
          <w:color w:val="000000" w:themeColor="text1"/>
          <w:sz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内压</w:t>
      </w:r>
      <w:r>
        <w:rPr>
          <w:rFonts w:hint="eastAsia" w:ascii="Times New Roman" w:hAnsi="Times New Roman" w:cs="Times New Roman" w:eastAsiaTheme="minorEastAsia"/>
          <w:color w:val="000000" w:themeColor="text1"/>
          <w:sz w:val="24"/>
          <w14:textFill>
            <w14:solidFill>
              <w14:schemeClr w14:val="tx1"/>
            </w14:solidFill>
          </w14:textFill>
        </w:rPr>
        <w:t>试验</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数据见</w:t>
      </w:r>
      <w:r>
        <w:rPr>
          <w:rFonts w:hint="eastAsia" w:ascii="Times New Roman" w:hAnsi="Times New Roman" w:cs="Times New Roman" w:eastAsiaTheme="minorEastAsia"/>
          <w:color w:val="000000" w:themeColor="text1"/>
          <w:sz w:val="24"/>
          <w14:textFill>
            <w14:solidFill>
              <w14:schemeClr w14:val="tx1"/>
            </w14:solidFill>
          </w14:textFill>
        </w:rPr>
        <w:t>下表。</w:t>
      </w:r>
    </w:p>
    <w:tbl>
      <w:tblPr>
        <w:tblStyle w:val="1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453"/>
        <w:gridCol w:w="1453"/>
        <w:gridCol w:w="1453"/>
        <w:gridCol w:w="145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0"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管系列</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S5</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S4</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S3.2</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S2.5</w:t>
            </w:r>
          </w:p>
        </w:tc>
        <w:tc>
          <w:tcPr>
            <w:tcW w:w="1455"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0"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试验压力MPa</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0.7</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0.88</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1.09</w:t>
            </w:r>
          </w:p>
        </w:tc>
        <w:tc>
          <w:tcPr>
            <w:tcW w:w="1453"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1.40</w:t>
            </w:r>
          </w:p>
        </w:tc>
        <w:tc>
          <w:tcPr>
            <w:tcW w:w="1455" w:type="dxa"/>
            <w:vAlign w:val="center"/>
          </w:tcPr>
          <w:p>
            <w:pPr>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1.75</w:t>
            </w:r>
          </w:p>
        </w:tc>
      </w:tr>
    </w:tbl>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5.规格和尺寸</w:t>
      </w:r>
    </w:p>
    <w:p>
      <w:pPr>
        <w:ind w:firstLine="480" w:firstLineChars="200"/>
        <w:jc w:val="lef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5.1 PPR管材</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管材长度不应有负偏差。</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管材的公称外径、平均外径及管系列S对应的最小壁厚（不包括阻隔层和黏接层的壁厚），见下表。阻隔层和黏接层总壁厚应不大于0.4mm。</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087"/>
        <w:gridCol w:w="1087"/>
        <w:gridCol w:w="1057"/>
        <w:gridCol w:w="1057"/>
        <w:gridCol w:w="1061"/>
        <w:gridCol w:w="106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restart"/>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公称外径mm</w:t>
            </w:r>
          </w:p>
        </w:tc>
        <w:tc>
          <w:tcPr>
            <w:tcW w:w="2490" w:type="dxa"/>
            <w:gridSpan w:val="2"/>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平均外径mm</w:t>
            </w:r>
          </w:p>
        </w:tc>
        <w:tc>
          <w:tcPr>
            <w:tcW w:w="6227" w:type="dxa"/>
            <w:gridSpan w:val="5"/>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最小</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最大</w:t>
            </w:r>
          </w:p>
        </w:tc>
        <w:tc>
          <w:tcPr>
            <w:tcW w:w="1245"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S5</w:t>
            </w:r>
          </w:p>
        </w:tc>
        <w:tc>
          <w:tcPr>
            <w:tcW w:w="1245"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S4</w:t>
            </w:r>
          </w:p>
        </w:tc>
        <w:tc>
          <w:tcPr>
            <w:tcW w:w="1245"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S3.2</w:t>
            </w:r>
          </w:p>
        </w:tc>
        <w:tc>
          <w:tcPr>
            <w:tcW w:w="1246"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S2.5</w:t>
            </w:r>
          </w:p>
        </w:tc>
        <w:tc>
          <w:tcPr>
            <w:tcW w:w="1246" w:type="dxa"/>
            <w:vAlign w:val="center"/>
          </w:tcPr>
          <w:p>
            <w:p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2.2</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2.7</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2.8</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3.4</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2.8</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3.5</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4.2</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2.9</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4.4</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5.4</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40.4</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3.7</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5.5</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6.7</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50.5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6.9</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8.3</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63.0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63.6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5.8</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7.1</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8.6</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10.5</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75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75.0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75.7</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6.8</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8.4</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10.3</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12.5</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90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90.0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90.9</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8.2</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10.1</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12.3</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15.0</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111.0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15.1</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18.3</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125.0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126.2</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11.4</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17.1</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20.8</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141.3</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12.7</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15.7</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19.2</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23.3</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161.5</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14.6</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17.9</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21.9</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26.6</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181.7</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16.4</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20.1</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24.6</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29.0</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200.0</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201.8</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18.2</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22.4</w:t>
            </w:r>
          </w:p>
        </w:tc>
        <w:tc>
          <w:tcPr>
            <w:tcW w:w="1245"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27.4</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33.2</w:t>
            </w:r>
          </w:p>
        </w:tc>
        <w:tc>
          <w:tcPr>
            <w:tcW w:w="1246" w:type="dxa"/>
            <w:vAlign w:val="center"/>
          </w:tcPr>
          <w:p>
            <w:pPr>
              <w:numPr>
                <w:ilvl w:val="-1"/>
                <w:numId w:val="0"/>
              </w:numPr>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40.1</w:t>
            </w:r>
          </w:p>
        </w:tc>
      </w:tr>
    </w:tbl>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p>
    <w:p>
      <w:pPr>
        <w:ind w:firstLine="480" w:firstLineChars="2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管材同一截面壁厚允许偏差应符合下表规定。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2"/>
        <w:gridCol w:w="1278"/>
        <w:gridCol w:w="853"/>
        <w:gridCol w:w="1278"/>
        <w:gridCol w:w="853"/>
        <w:gridCol w:w="127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+0.30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&lt;e≤12.0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+1.30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&lt;e≤22.0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+2.30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&lt;e≤32.0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2.0&lt;e≤3.0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+0.40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12.0&lt;e≤13.0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22.0&lt;e≤23.0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+2.40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32.0&lt;e≤33.0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3.0&lt;e≤4.0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+0.50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13.0&lt;e≤14.0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23.0&lt;e≤24.0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33.0&lt;e≤34.0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4.0&lt;e≤5.0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+0.60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14.0&lt;e≤15.0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24.0&lt;e≤25.0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+2.60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34.0&lt;e≤35.0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5.0&lt;e≤6.0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+0.70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15.0&lt;e≤16.0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+1.70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25.0&lt;e≤26.0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+2.70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35.0&lt;e≤36.0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6.0&lt;e≤7.0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+0.80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16.0&lt;e≤17.0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26.0&lt;e≤27.0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+2.80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36.0&lt;e≤37.0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7.0&lt;e≤8.0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+0.90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17.0&lt;e≤18.0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+1.90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27.0&lt;e≤28.0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+2.90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37.0&lt;e≤38.0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8.0&lt;e≤9.0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18.0&lt;e≤19.0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28.0&lt;e≤29.0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+3.00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38.0&lt;e≤39.0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9.0&lt;e≤10.0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19.0&lt;e≤20.0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+2.10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29.0&lt;e≤30.0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+3.10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39.0&lt;e≤40.0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10.0&lt;e≤11.0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20.0&lt;e≤21.0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30.0&lt;e≤31.0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40.0&lt;e≤41.0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+4.30</w:t>
            </w:r>
          </w:p>
        </w:tc>
      </w:tr>
    </w:tbl>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p>
    <w:p>
      <w:pPr>
        <w:ind w:firstLine="480" w:firstLineChars="200"/>
        <w:jc w:val="lef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5.2 PPR管件</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管件的壁厚应大于相同管系列S的管材的壁厚。</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6.卫生要求</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用于输送饮用水的PPR管材、管件以及制造管材、管件所用的混配料均应符合GB/T 17219的规定</w:t>
      </w:r>
      <w:r>
        <w:rPr>
          <w:rFonts w:hint="eastAsia" w:ascii="Times New Roman" w:hAnsi="Times New Roman" w:cs="Times New Roman" w:eastAsiaTheme="minorEastAsia"/>
          <w:sz w:val="24"/>
          <w:highlight w:val="none"/>
          <w:lang w:eastAsia="zh-CN"/>
        </w:rPr>
        <w:t>，</w:t>
      </w:r>
      <w:r>
        <w:rPr>
          <w:rFonts w:hint="eastAsia" w:ascii="Times New Roman" w:hAnsi="Times New Roman" w:cs="Times New Roman" w:eastAsiaTheme="minorEastAsia"/>
          <w:sz w:val="24"/>
          <w:highlight w:val="none"/>
          <w:lang w:val="en-US" w:eastAsia="zh-CN"/>
        </w:rPr>
        <w:t>提供相关证明材料</w:t>
      </w:r>
      <w:r>
        <w:rPr>
          <w:rFonts w:hint="default" w:ascii="Times New Roman" w:hAnsi="Times New Roman" w:cs="Times New Roman" w:eastAsiaTheme="minorEastAsia"/>
          <w:sz w:val="24"/>
          <w:highlight w:val="none"/>
        </w:rPr>
        <w:t>。</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7.外观标志</w:t>
      </w:r>
    </w:p>
    <w:p>
      <w:pPr>
        <w:ind w:firstLine="480" w:firstLineChars="200"/>
        <w:jc w:val="left"/>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 xml:space="preserve">管材出厂时具有永久性标志，标志清晰可辨，且间距不超过1m。标志包括生产厂名或商标、产品名称（注明PPR冷热水管材）、规格及尺寸（管系列、公称外径、公称壁厚）、生产日期或生产批号、采用标准号、“水”或“water”字样、非明装管材应注明“不可明装”、若带有阻隔层，应标注，如“阻氧”。 </w:t>
      </w:r>
    </w:p>
    <w:p>
      <w:pPr>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imes New Roman" w:hAnsi="Times New Roman" w:cs="Times New Roman" w:eastAsiaTheme="minorEastAsia"/>
          <w:color w:val="000000" w:themeColor="text1"/>
          <w:sz w:val="24"/>
          <w:lang w:val="en-US" w:eastAsia="zh-CN"/>
          <w14:textFill>
            <w14:solidFill>
              <w14:schemeClr w14:val="tx1"/>
            </w14:solidFill>
          </w14:textFill>
        </w:rPr>
        <w:t>管件应有永久性标志，包括原料名称PPR、产品规格（管系列、公称外径）、商标。</w:t>
      </w:r>
    </w:p>
    <w:p>
      <w:pPr>
        <w:numPr>
          <w:ilvl w:val="0"/>
          <w:numId w:val="0"/>
        </w:numPr>
        <w:spacing w:line="240" w:lineRule="auto"/>
        <w:jc w:val="left"/>
        <w:rPr>
          <w:rFonts w:hint="default" w:ascii="Times New Roman" w:hAnsi="Times New Roman" w:cs="Times New Roman" w:eastAsiaTheme="minorEastAsia"/>
          <w:b/>
          <w:bCs/>
          <w:color w:val="000000"/>
          <w:sz w:val="24"/>
          <w:szCs w:val="24"/>
          <w:highlight w:val="none"/>
        </w:rPr>
      </w:pP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三</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
          <w:bCs/>
          <w:color w:val="000000"/>
          <w:sz w:val="24"/>
          <w:szCs w:val="24"/>
          <w:highlight w:val="none"/>
          <w:lang w:val="en-US" w:eastAsia="zh-CN"/>
        </w:rPr>
        <w:t>其他</w:t>
      </w:r>
    </w:p>
    <w:p>
      <w:pPr>
        <w:spacing w:line="240" w:lineRule="auto"/>
        <w:jc w:val="left"/>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lang w:val="en-US" w:eastAsia="zh-CN"/>
        </w:rPr>
        <w:t>1</w:t>
      </w:r>
      <w:r>
        <w:rPr>
          <w:rFonts w:hint="eastAsia" w:ascii="Times New Roman" w:hAnsi="Times New Roman" w:cs="Times New Roman"/>
          <w:sz w:val="24"/>
          <w:szCs w:val="24"/>
          <w:highlight w:val="none"/>
          <w:shd w:val="clear" w:color="auto" w:fill="FFFFFF"/>
          <w:lang w:val="en-US" w:eastAsia="zh-CN"/>
        </w:rPr>
        <w:t>.</w:t>
      </w:r>
      <w:r>
        <w:rPr>
          <w:rFonts w:hint="default" w:ascii="Times New Roman" w:hAnsi="Times New Roman" w:cs="Times New Roman" w:eastAsiaTheme="minorEastAsia"/>
          <w:sz w:val="24"/>
          <w:szCs w:val="24"/>
          <w:highlight w:val="none"/>
          <w:shd w:val="clear" w:color="auto" w:fill="FFFFFF"/>
        </w:rPr>
        <w:t>其他未尽事宜按照</w:t>
      </w:r>
      <w:r>
        <w:rPr>
          <w:rFonts w:hint="default" w:ascii="Times New Roman" w:hAnsi="Times New Roman" w:cs="Times New Roman" w:eastAsiaTheme="minorEastAsia"/>
          <w:sz w:val="24"/>
          <w:szCs w:val="24"/>
          <w:highlight w:val="none"/>
          <w:shd w:val="clear" w:color="auto" w:fill="FFFFFF"/>
          <w:lang w:val="en-US" w:eastAsia="zh-CN"/>
        </w:rPr>
        <w:t>设计要求或国标、行标规定</w:t>
      </w:r>
      <w:r>
        <w:rPr>
          <w:rFonts w:hint="default" w:ascii="Times New Roman" w:hAnsi="Times New Roman" w:cs="Times New Roman" w:eastAsiaTheme="minorEastAsia"/>
          <w:sz w:val="24"/>
          <w:szCs w:val="24"/>
          <w:highlight w:val="none"/>
          <w:shd w:val="clear" w:color="auto" w:fill="FFFFFF"/>
        </w:rPr>
        <w:t>。</w:t>
      </w:r>
    </w:p>
    <w:p>
      <w:pPr>
        <w:spacing w:line="240" w:lineRule="auto"/>
        <w:jc w:val="lef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2</w:t>
      </w:r>
      <w:r>
        <w:rPr>
          <w:rFonts w:hint="eastAsia" w:ascii="Times New Roman" w:hAnsi="Times New Roman" w:cs="Times New Roman"/>
          <w:sz w:val="24"/>
          <w:szCs w:val="24"/>
          <w:highlight w:val="none"/>
          <w:lang w:val="en-US" w:eastAsia="zh-CN"/>
        </w:rPr>
        <w:t>.</w:t>
      </w:r>
      <w:r>
        <w:rPr>
          <w:rFonts w:hint="default" w:ascii="Times New Roman" w:hAnsi="Times New Roman" w:cs="Times New Roman" w:eastAsiaTheme="minorEastAsia"/>
          <w:sz w:val="24"/>
          <w:szCs w:val="24"/>
          <w:highlight w:val="none"/>
        </w:rPr>
        <w:t>质保期</w:t>
      </w:r>
      <w:r>
        <w:rPr>
          <w:rFonts w:hint="default" w:ascii="Times New Roman" w:hAnsi="Times New Roman" w:cs="Times New Roman" w:eastAsiaTheme="minorEastAsia"/>
          <w:sz w:val="24"/>
          <w:szCs w:val="24"/>
          <w:highlight w:val="none"/>
          <w:lang w:val="en-US" w:eastAsia="zh-CN"/>
        </w:rPr>
        <w:t>满足招标单位提出的要求，且不低于行业同类产品的质保年限</w:t>
      </w:r>
      <w:r>
        <w:rPr>
          <w:rFonts w:hint="default" w:ascii="Times New Roman" w:hAnsi="Times New Roman" w:cs="Times New Roman" w:eastAsiaTheme="minorEastAsia"/>
          <w:sz w:val="24"/>
          <w:szCs w:val="24"/>
          <w:highlight w:val="none"/>
        </w:rPr>
        <w:t>。</w:t>
      </w: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2" w:firstLineChars="200"/>
        <w:jc w:val="left"/>
        <w:rPr>
          <w:rFonts w:asciiTheme="minorEastAsia" w:hAnsiTheme="minorEastAsia" w:eastAsiaTheme="minorEastAsia" w:cstheme="minorEastAsia"/>
          <w:b/>
          <w:bCs/>
          <w:sz w:val="24"/>
        </w:rPr>
      </w:pPr>
    </w:p>
    <w:p>
      <w:pPr>
        <w:keepNext w:val="0"/>
        <w:keepLines w:val="0"/>
        <w:pageBreakBefore w:val="0"/>
        <w:widowControl w:val="0"/>
        <w:kinsoku/>
        <w:wordWrap/>
        <w:overflowPunct/>
        <w:topLinePunct w:val="0"/>
        <w:autoSpaceDE/>
        <w:autoSpaceDN/>
        <w:bidi w:val="0"/>
        <w:adjustRightInd w:val="0"/>
        <w:snapToGrid w:val="0"/>
        <w:ind w:firstLine="48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8"/>
          <w:szCs w:val="28"/>
          <w:lang w:val="en-US" w:eastAsia="zh-CN"/>
        </w:rPr>
        <w:t>技术管理部</w:t>
      </w:r>
    </w:p>
    <w:p>
      <w:pPr>
        <w:keepNext w:val="0"/>
        <w:keepLines w:val="0"/>
        <w:pageBreakBefore w:val="0"/>
        <w:widowControl w:val="0"/>
        <w:kinsoku/>
        <w:wordWrap/>
        <w:overflowPunct/>
        <w:topLinePunct w:val="0"/>
        <w:autoSpaceDE/>
        <w:autoSpaceDN/>
        <w:bidi w:val="0"/>
        <w:adjustRightInd w:val="0"/>
        <w:snapToGrid w:val="0"/>
        <w:ind w:firstLine="562" w:firstLineChars="200"/>
        <w:jc w:val="left"/>
        <w:textAlignment w:val="auto"/>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8"/>
          <w:szCs w:val="28"/>
          <w:lang w:val="en-US" w:eastAsia="zh-CN"/>
        </w:rPr>
        <w:t xml:space="preserve">                                   2025年4月22日</w:t>
      </w:r>
      <w:bookmarkStart w:id="0" w:name="_GoBack"/>
      <w:bookmarkEnd w:id="0"/>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rPr>
          <w:rFonts w:hint="eastAsia" w:eastAsia="宋体"/>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p>
    <w:p/>
    <w:p/>
    <w:p/>
    <w:p/>
    <w:p/>
    <w:p/>
    <w:p/>
    <w:sectPr>
      <w:headerReference r:id="rId3" w:type="default"/>
      <w:footerReference r:id="rId4"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147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WZhYTI0NTE5ZjQyOTlmZDAzM2Q1MGY3ZDc1MzkifQ=="/>
  </w:docVars>
  <w:rsids>
    <w:rsidRoot w:val="35590840"/>
    <w:rsid w:val="002D70FB"/>
    <w:rsid w:val="004A4BE8"/>
    <w:rsid w:val="00502DC9"/>
    <w:rsid w:val="00562F12"/>
    <w:rsid w:val="00937AD7"/>
    <w:rsid w:val="0094108C"/>
    <w:rsid w:val="009C69AF"/>
    <w:rsid w:val="00CB0B1A"/>
    <w:rsid w:val="00D40B1A"/>
    <w:rsid w:val="00EF6054"/>
    <w:rsid w:val="00F103B4"/>
    <w:rsid w:val="02ED01E1"/>
    <w:rsid w:val="03490CF7"/>
    <w:rsid w:val="040C2D9C"/>
    <w:rsid w:val="040C7CA3"/>
    <w:rsid w:val="041F70CB"/>
    <w:rsid w:val="042D00C3"/>
    <w:rsid w:val="05475CED"/>
    <w:rsid w:val="05DE7975"/>
    <w:rsid w:val="06666773"/>
    <w:rsid w:val="081202C7"/>
    <w:rsid w:val="0ADD34E8"/>
    <w:rsid w:val="0B841EBE"/>
    <w:rsid w:val="0D9F59C2"/>
    <w:rsid w:val="0E244AAD"/>
    <w:rsid w:val="0E5528EA"/>
    <w:rsid w:val="10D47CA5"/>
    <w:rsid w:val="10F37D66"/>
    <w:rsid w:val="113822EE"/>
    <w:rsid w:val="12CD3AA6"/>
    <w:rsid w:val="132A6C91"/>
    <w:rsid w:val="135D7C6C"/>
    <w:rsid w:val="147D7A78"/>
    <w:rsid w:val="14966963"/>
    <w:rsid w:val="15344DFD"/>
    <w:rsid w:val="15AC0164"/>
    <w:rsid w:val="15DF7FFA"/>
    <w:rsid w:val="162A72E7"/>
    <w:rsid w:val="178C553A"/>
    <w:rsid w:val="17AB341A"/>
    <w:rsid w:val="17CC67E6"/>
    <w:rsid w:val="1A330E91"/>
    <w:rsid w:val="1A3878E1"/>
    <w:rsid w:val="1AF05711"/>
    <w:rsid w:val="1B884C8D"/>
    <w:rsid w:val="1BF36DFC"/>
    <w:rsid w:val="1BF965D2"/>
    <w:rsid w:val="1D186ECF"/>
    <w:rsid w:val="1DF732B8"/>
    <w:rsid w:val="1E08695C"/>
    <w:rsid w:val="1E7A61E8"/>
    <w:rsid w:val="1F7A7BB9"/>
    <w:rsid w:val="20404157"/>
    <w:rsid w:val="21A30DF8"/>
    <w:rsid w:val="22091520"/>
    <w:rsid w:val="229C6C77"/>
    <w:rsid w:val="230E292F"/>
    <w:rsid w:val="24B326E7"/>
    <w:rsid w:val="25B979F7"/>
    <w:rsid w:val="25DA53BA"/>
    <w:rsid w:val="268273E7"/>
    <w:rsid w:val="27AC4587"/>
    <w:rsid w:val="28447153"/>
    <w:rsid w:val="28907962"/>
    <w:rsid w:val="29A3767C"/>
    <w:rsid w:val="2A9D5AE1"/>
    <w:rsid w:val="2AAF11CD"/>
    <w:rsid w:val="2B1A11DC"/>
    <w:rsid w:val="2B7D4283"/>
    <w:rsid w:val="2BA657C5"/>
    <w:rsid w:val="2D3750EF"/>
    <w:rsid w:val="2DE669DC"/>
    <w:rsid w:val="2E943478"/>
    <w:rsid w:val="2F47752A"/>
    <w:rsid w:val="2FF24A1C"/>
    <w:rsid w:val="3053179E"/>
    <w:rsid w:val="3074400E"/>
    <w:rsid w:val="311B56E6"/>
    <w:rsid w:val="31647344"/>
    <w:rsid w:val="317C6419"/>
    <w:rsid w:val="321B3587"/>
    <w:rsid w:val="323F1AC8"/>
    <w:rsid w:val="32AD35FE"/>
    <w:rsid w:val="340E4E6D"/>
    <w:rsid w:val="34FC6A6B"/>
    <w:rsid w:val="35134A3F"/>
    <w:rsid w:val="354A6010"/>
    <w:rsid w:val="35590840"/>
    <w:rsid w:val="35686F18"/>
    <w:rsid w:val="36FC58BF"/>
    <w:rsid w:val="38114C61"/>
    <w:rsid w:val="383334E4"/>
    <w:rsid w:val="39572A1A"/>
    <w:rsid w:val="3A5C7415"/>
    <w:rsid w:val="3AAE7133"/>
    <w:rsid w:val="3B7C206D"/>
    <w:rsid w:val="3BA86199"/>
    <w:rsid w:val="3C1719A7"/>
    <w:rsid w:val="3F067218"/>
    <w:rsid w:val="3F471133"/>
    <w:rsid w:val="3FEF06B0"/>
    <w:rsid w:val="404D65EE"/>
    <w:rsid w:val="411962C3"/>
    <w:rsid w:val="413F2F03"/>
    <w:rsid w:val="42602966"/>
    <w:rsid w:val="42B4132B"/>
    <w:rsid w:val="43A1661B"/>
    <w:rsid w:val="43BC4F04"/>
    <w:rsid w:val="44213AA0"/>
    <w:rsid w:val="45B44C78"/>
    <w:rsid w:val="4617120F"/>
    <w:rsid w:val="47592F34"/>
    <w:rsid w:val="47FE407E"/>
    <w:rsid w:val="487032B8"/>
    <w:rsid w:val="49174337"/>
    <w:rsid w:val="495A02AF"/>
    <w:rsid w:val="4A746031"/>
    <w:rsid w:val="4CBA444F"/>
    <w:rsid w:val="4D726118"/>
    <w:rsid w:val="4E0453E4"/>
    <w:rsid w:val="4F917E60"/>
    <w:rsid w:val="50481508"/>
    <w:rsid w:val="50FD0233"/>
    <w:rsid w:val="51926403"/>
    <w:rsid w:val="53450627"/>
    <w:rsid w:val="5461149F"/>
    <w:rsid w:val="55136861"/>
    <w:rsid w:val="56BF4C86"/>
    <w:rsid w:val="57F70DFF"/>
    <w:rsid w:val="58993B1A"/>
    <w:rsid w:val="5969186D"/>
    <w:rsid w:val="59D05796"/>
    <w:rsid w:val="5A0945B7"/>
    <w:rsid w:val="5B6B5DA5"/>
    <w:rsid w:val="5C03403B"/>
    <w:rsid w:val="5C3E7FB9"/>
    <w:rsid w:val="5D470FAB"/>
    <w:rsid w:val="5E447ED9"/>
    <w:rsid w:val="60BB0A35"/>
    <w:rsid w:val="61074AF0"/>
    <w:rsid w:val="615B02C6"/>
    <w:rsid w:val="61EE1106"/>
    <w:rsid w:val="62035F2D"/>
    <w:rsid w:val="62674F99"/>
    <w:rsid w:val="63164ECD"/>
    <w:rsid w:val="63850875"/>
    <w:rsid w:val="63ED4B27"/>
    <w:rsid w:val="645F2357"/>
    <w:rsid w:val="64F8477D"/>
    <w:rsid w:val="65014476"/>
    <w:rsid w:val="65B55730"/>
    <w:rsid w:val="65D83093"/>
    <w:rsid w:val="661D5FA4"/>
    <w:rsid w:val="66F82907"/>
    <w:rsid w:val="67082E56"/>
    <w:rsid w:val="67E84DD0"/>
    <w:rsid w:val="698B2D92"/>
    <w:rsid w:val="698D7BFE"/>
    <w:rsid w:val="6A4E5643"/>
    <w:rsid w:val="6B5169F8"/>
    <w:rsid w:val="6B5C5CEE"/>
    <w:rsid w:val="6B936CF1"/>
    <w:rsid w:val="6BFD57B7"/>
    <w:rsid w:val="6C1919A4"/>
    <w:rsid w:val="6CA00FD6"/>
    <w:rsid w:val="6D7A432B"/>
    <w:rsid w:val="6DE972E3"/>
    <w:rsid w:val="6FA85423"/>
    <w:rsid w:val="707D2817"/>
    <w:rsid w:val="7217506B"/>
    <w:rsid w:val="74F715C8"/>
    <w:rsid w:val="75C313A2"/>
    <w:rsid w:val="79080E04"/>
    <w:rsid w:val="7A0450B9"/>
    <w:rsid w:val="7A866222"/>
    <w:rsid w:val="7AD6318A"/>
    <w:rsid w:val="7AFA4A88"/>
    <w:rsid w:val="7B986B73"/>
    <w:rsid w:val="7CC1457E"/>
    <w:rsid w:val="7CC62243"/>
    <w:rsid w:val="7D5F44D0"/>
    <w:rsid w:val="7D670DDF"/>
    <w:rsid w:val="7D8738A4"/>
    <w:rsid w:val="7E575843"/>
    <w:rsid w:val="7F181840"/>
    <w:rsid w:val="7F1E7754"/>
    <w:rsid w:val="7F9F64F0"/>
    <w:rsid w:val="FA5F08BD"/>
    <w:rsid w:val="FB739C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widowControl/>
      <w:spacing w:before="180" w:after="180"/>
      <w:jc w:val="left"/>
    </w:pPr>
    <w:rPr>
      <w:kern w:val="0"/>
      <w:sz w:val="24"/>
      <w:lang w:eastAsia="en-US"/>
    </w:rPr>
  </w:style>
  <w:style w:type="paragraph" w:styleId="5">
    <w:name w:val="Plain Text"/>
    <w:basedOn w:val="1"/>
    <w:unhideWhenUsed/>
    <w:qFormat/>
    <w:uiPriority w:val="99"/>
    <w:rPr>
      <w:rFonts w:ascii="宋体" w:hAnsi="Courier New" w:cs="Courier New"/>
      <w:szCs w:val="21"/>
    </w:rPr>
  </w:style>
  <w:style w:type="paragraph" w:styleId="6">
    <w:name w:val="Balloon Text"/>
    <w:basedOn w:val="1"/>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rPr>
      <w:sz w:val="2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jc w:val="center"/>
      <w:outlineLvl w:val="0"/>
    </w:pPr>
    <w:rPr>
      <w:rFonts w:ascii="Cambria" w:hAnsi="Cambria"/>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bCs/>
    </w:rPr>
  </w:style>
  <w:style w:type="paragraph" w:customStyle="1" w:styleId="16">
    <w:name w:val="Char"/>
    <w:basedOn w:val="1"/>
    <w:semiHidden/>
    <w:qFormat/>
    <w:uiPriority w:val="0"/>
    <w:pPr>
      <w:spacing w:line="360" w:lineRule="auto"/>
      <w:ind w:firstLine="200" w:firstLineChars="200"/>
    </w:pPr>
    <w:rPr>
      <w:rFonts w:ascii="宋体" w:hAnsi="宋体" w:cs="宋体"/>
      <w:sz w:val="24"/>
    </w:rPr>
  </w:style>
  <w:style w:type="paragraph" w:customStyle="1" w:styleId="17">
    <w:name w:val="表头"/>
    <w:basedOn w:val="1"/>
    <w:qFormat/>
    <w:uiPriority w:val="0"/>
    <w:pPr>
      <w:spacing w:before="160" w:after="60" w:line="312" w:lineRule="exact"/>
      <w:jc w:val="center"/>
    </w:pPr>
    <w:rPr>
      <w:rFonts w:ascii="EU-F1" w:eastAsia="黑体"/>
      <w:szCs w:val="21"/>
    </w:rPr>
  </w:style>
  <w:style w:type="paragraph" w:customStyle="1" w:styleId="18">
    <w:name w:val="章标题"/>
    <w:next w:val="19"/>
    <w:qFormat/>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样式2"/>
    <w:basedOn w:val="1"/>
    <w:qFormat/>
    <w:uiPriority w:val="0"/>
    <w:pPr>
      <w:widowControl/>
      <w:spacing w:line="312" w:lineRule="exact"/>
    </w:pPr>
    <w:rPr>
      <w:rFonts w:ascii="EU-F1" w:eastAsia="黑体"/>
      <w:color w:val="000000"/>
      <w:kern w:val="44"/>
      <w:szCs w:val="21"/>
    </w:rPr>
  </w:style>
  <w:style w:type="paragraph" w:customStyle="1" w:styleId="21">
    <w:name w:val="样式 3"/>
    <w:basedOn w:val="1"/>
    <w:semiHidden/>
    <w:qFormat/>
    <w:uiPriority w:val="0"/>
    <w:pPr>
      <w:topLinePunct/>
      <w:ind w:left="840" w:hanging="420"/>
    </w:pPr>
    <w:rPr>
      <w:kern w:val="21"/>
      <w:szCs w:val="21"/>
    </w:rPr>
  </w:style>
  <w:style w:type="paragraph" w:customStyle="1" w:styleId="22">
    <w:name w:val="BodyText"/>
    <w:basedOn w:val="1"/>
    <w:qFormat/>
    <w:uiPriority w:val="0"/>
    <w:pPr>
      <w:widowControl/>
      <w:spacing w:before="180" w:after="180"/>
      <w:jc w:val="left"/>
      <w:textAlignment w:val="baseline"/>
    </w:pPr>
    <w:rPr>
      <w:kern w:val="0"/>
      <w:sz w:val="24"/>
      <w:lang w:eastAsia="en-US"/>
    </w:rPr>
  </w:style>
  <w:style w:type="character" w:customStyle="1" w:styleId="23">
    <w:name w:val="NormalCharacter"/>
    <w:qFormat/>
    <w:uiPriority w:val="0"/>
    <w:rPr>
      <w:rFonts w:ascii="Calibri" w:hAnsi="Calibri" w:eastAsia="宋体" w:cs="Times New Roman"/>
      <w:kern w:val="2"/>
      <w:sz w:val="21"/>
      <w:szCs w:val="24"/>
      <w:lang w:val="en-US" w:eastAsia="zh-CN" w:bidi="ar-SA"/>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1469</Words>
  <Characters>2691</Characters>
  <Lines>8</Lines>
  <Paragraphs>2</Paragraphs>
  <TotalTime>0</TotalTime>
  <ScaleCrop>false</ScaleCrop>
  <LinksUpToDate>false</LinksUpToDate>
  <CharactersWithSpaces>2859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2017-07-18T08:20:00Z</dcterms:created>
  <dc:creator>Administrator</dc:creator>
  <cp:lastModifiedBy>技术部</cp:lastModifiedBy>
  <cp:lastPrinted>2023-02-02T05:37:00Z</cp:lastPrinted>
  <dcterms:modified xsi:type="dcterms:W3CDTF">2025-04-22T01:11:49Z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9B9F66D689B940C4B72874E73576B396_13</vt:lpwstr>
  </property>
  <property fmtid="{D5CDD505-2E9C-101B-9397-08002B2CF9AE}" pid="4" name="KSOTemplateDocerSaveRecord">
    <vt:lpwstr>eyJoZGlkIjoiOTJkMzRjNGIwYTkyOWZlMDNmMzAyOTUzNTNiOTBkN2MiLCJ1c2VySWQiOiI2MjUwNjA4NDgifQ==</vt:lpwstr>
  </property>
</Properties>
</file>