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cs="新宋体"/>
          <w:b/>
          <w:bCs/>
          <w:sz w:val="32"/>
          <w:szCs w:val="32"/>
        </w:rPr>
      </w:pPr>
      <w:r>
        <w:rPr>
          <w:rFonts w:hint="eastAsia" w:ascii="宋体" w:hAnsi="宋体"/>
          <w:b/>
          <w:sz w:val="32"/>
          <w:szCs w:val="32"/>
        </w:rPr>
        <w:t>球墨铸铁管</w:t>
      </w:r>
      <w:r>
        <w:rPr>
          <w:rFonts w:hint="eastAsia" w:ascii="宋体" w:hAnsi="宋体"/>
          <w:b/>
          <w:sz w:val="32"/>
          <w:szCs w:val="32"/>
          <w:lang w:val="en-US" w:eastAsia="zh-CN"/>
        </w:rPr>
        <w:t>材、管件</w:t>
      </w:r>
      <w:r>
        <w:rPr>
          <w:rFonts w:hint="eastAsia" w:ascii="宋体" w:hAnsi="宋体"/>
          <w:b/>
          <w:sz w:val="32"/>
          <w:szCs w:val="32"/>
        </w:rPr>
        <w:t>技术要求</w:t>
      </w:r>
    </w:p>
    <w:p>
      <w:pPr>
        <w:jc w:val="left"/>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一.遵循标准</w:t>
      </w:r>
    </w:p>
    <w:p>
      <w:pPr>
        <w:ind w:firstLine="480" w:firstLineChars="200"/>
        <w:jc w:val="left"/>
        <w:rPr>
          <w:rFonts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lang w:val="zh-CN"/>
        </w:rPr>
        <w:t>GB</w:t>
      </w:r>
      <w:r>
        <w:rPr>
          <w:rFonts w:hint="eastAsia" w:asciiTheme="minorEastAsia" w:hAnsiTheme="minorEastAsia" w:eastAsiaTheme="minorEastAsia" w:cstheme="minorEastAsia"/>
          <w:sz w:val="24"/>
          <w:highlight w:val="none"/>
          <w:lang w:val="zh-CN"/>
        </w:rPr>
        <w:t>/T</w:t>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zh-CN"/>
        </w:rPr>
        <w:t>13295-201</w:t>
      </w:r>
      <w:r>
        <w:rPr>
          <w:rFonts w:hint="eastAsia" w:asciiTheme="minorEastAsia" w:hAnsiTheme="minorEastAsia" w:eastAsiaTheme="minorEastAsia" w:cstheme="minorEastAsia"/>
          <w:sz w:val="24"/>
          <w:highlight w:val="none"/>
        </w:rPr>
        <w:t>9</w:t>
      </w:r>
      <w:r>
        <w:rPr>
          <w:rFonts w:hint="eastAsia" w:asciiTheme="minorEastAsia" w:hAnsiTheme="minorEastAsia" w:eastAsiaTheme="minorEastAsia" w:cstheme="minorEastAsia"/>
          <w:sz w:val="24"/>
          <w:highlight w:val="none"/>
          <w:lang w:val="zh-CN"/>
        </w:rPr>
        <w:t>《水及燃气用球墨铸铁管、管件和附件》</w:t>
      </w:r>
    </w:p>
    <w:p>
      <w:pP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w:t>
      </w:r>
      <w:r>
        <w:rPr>
          <w:rFonts w:hint="eastAsia" w:asciiTheme="minorEastAsia" w:hAnsiTheme="minorEastAsia" w:eastAsiaTheme="minorEastAsia" w:cstheme="minorEastAsia"/>
          <w:sz w:val="24"/>
          <w:highlight w:val="none"/>
          <w:lang w:val="zh-CN"/>
        </w:rPr>
        <w:t>/T</w:t>
      </w:r>
      <w:r>
        <w:rPr>
          <w:rFonts w:hint="eastAsia" w:asciiTheme="minorEastAsia" w:hAnsiTheme="minorEastAsia" w:eastAsiaTheme="minorEastAsia" w:cstheme="minorEastAsia"/>
          <w:sz w:val="24"/>
          <w:highlight w:val="none"/>
        </w:rPr>
        <w:t xml:space="preserve"> 1348-20</w:t>
      </w:r>
      <w:r>
        <w:rPr>
          <w:rFonts w:hint="eastAsia" w:asciiTheme="minorEastAsia" w:hAnsiTheme="minorEastAsia" w:eastAsiaTheme="minorEastAsia" w:cstheme="minorEastAsia"/>
          <w:sz w:val="24"/>
          <w:highlight w:val="none"/>
          <w:lang w:val="en-US" w:eastAsia="zh-CN"/>
        </w:rPr>
        <w:t>19</w:t>
      </w:r>
      <w:r>
        <w:rPr>
          <w:rFonts w:hint="eastAsia" w:asciiTheme="minorEastAsia" w:hAnsiTheme="minorEastAsia" w:eastAsiaTheme="minorEastAsia" w:cstheme="minorEastAsia"/>
          <w:sz w:val="24"/>
          <w:highlight w:val="none"/>
        </w:rPr>
        <w:t>《球墨铸铁件》</w:t>
      </w:r>
    </w:p>
    <w:p>
      <w:pPr>
        <w:ind w:firstLine="480" w:firstLineChars="20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17456.1-2009《球墨铸铁管外表面锌涂层 第1部分:带终饰层的金属锌涂层》</w:t>
      </w:r>
    </w:p>
    <w:p>
      <w:pPr>
        <w:ind w:firstLine="480" w:firstLineChars="200"/>
        <w:jc w:val="left"/>
        <w:rPr>
          <w:rFonts w:hint="eastAsia" w:asciiTheme="minorEastAsia" w:hAnsiTheme="minorEastAsia" w:eastAsiaTheme="minorEastAsia" w:cstheme="minorEastAsia"/>
          <w:sz w:val="24"/>
          <w:highlight w:val="none"/>
          <w:lang w:val="zh-CN"/>
        </w:rPr>
      </w:pPr>
      <w:r>
        <w:rPr>
          <w:rFonts w:hint="eastAsia" w:asciiTheme="minorEastAsia" w:hAnsiTheme="minorEastAsia" w:eastAsiaTheme="minorEastAsia" w:cstheme="minorEastAsia"/>
          <w:sz w:val="24"/>
          <w:highlight w:val="none"/>
          <w:lang w:val="zh-CN"/>
        </w:rPr>
        <w:t>GB/T 17456</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val="zh-CN"/>
        </w:rPr>
        <w:t>-2010《球墨铸铁管外表面锌涂层</w:t>
      </w:r>
      <w:r>
        <w:rPr>
          <w:rFonts w:hint="eastAsia" w:asciiTheme="minorEastAsia" w:hAnsiTheme="minorEastAsia" w:eastAsiaTheme="minorEastAsia" w:cstheme="minorEastAsia"/>
          <w:sz w:val="24"/>
          <w:highlight w:val="none"/>
          <w:lang w:val="en-US" w:eastAsia="zh-CN"/>
        </w:rPr>
        <w:t xml:space="preserve"> </w:t>
      </w:r>
      <w:r>
        <w:rPr>
          <w:rFonts w:hint="default" w:asciiTheme="minorEastAsia" w:hAnsiTheme="minorEastAsia" w:eastAsiaTheme="minorEastAsia" w:cstheme="minorEastAsia"/>
          <w:sz w:val="24"/>
          <w:highlight w:val="none"/>
          <w:lang w:val="zh-CN"/>
        </w:rPr>
        <w:t>第2部分：带终饰层的富锌涂料涂层</w:t>
      </w:r>
      <w:r>
        <w:rPr>
          <w:rFonts w:hint="eastAsia" w:asciiTheme="minorEastAsia" w:hAnsiTheme="minorEastAsia" w:eastAsiaTheme="minorEastAsia" w:cstheme="minorEastAsia"/>
          <w:sz w:val="24"/>
          <w:highlight w:val="none"/>
          <w:lang w:val="zh-CN"/>
        </w:rPr>
        <w:t>》</w:t>
      </w:r>
    </w:p>
    <w:p>
      <w:pPr>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GB/T 17457-2019《</w:t>
      </w:r>
      <w:r>
        <w:rPr>
          <w:rFonts w:asciiTheme="minorEastAsia" w:hAnsiTheme="minorEastAsia" w:eastAsiaTheme="minorEastAsia" w:cstheme="minorEastAsia"/>
          <w:sz w:val="24"/>
          <w:highlight w:val="none"/>
        </w:rPr>
        <w:t>球墨铸铁管和管件 水泥砂浆内衬</w:t>
      </w:r>
      <w:r>
        <w:rPr>
          <w:rFonts w:hint="eastAsia" w:asciiTheme="minorEastAsia" w:hAnsiTheme="minorEastAsia" w:eastAsiaTheme="minorEastAsia" w:cstheme="minorEastAsia"/>
          <w:sz w:val="24"/>
          <w:highlight w:val="none"/>
        </w:rPr>
        <w:t>》</w:t>
      </w:r>
    </w:p>
    <w:p>
      <w:pPr>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zh-CN"/>
        </w:rPr>
        <w:t>GB/T 17459-1998《</w:t>
      </w:r>
      <w:r>
        <w:rPr>
          <w:rFonts w:asciiTheme="minorEastAsia" w:hAnsiTheme="minorEastAsia" w:eastAsiaTheme="minorEastAsia" w:cstheme="minorEastAsia"/>
          <w:sz w:val="24"/>
          <w:highlight w:val="none"/>
          <w:lang w:val="zh-CN"/>
        </w:rPr>
        <w:t>球墨铸铁管 沥青涂层</w:t>
      </w:r>
      <w:r>
        <w:rPr>
          <w:rFonts w:hint="eastAsia" w:asciiTheme="minorEastAsia" w:hAnsiTheme="minorEastAsia" w:eastAsiaTheme="minorEastAsia" w:cstheme="minorEastAsia"/>
          <w:sz w:val="24"/>
          <w:highlight w:val="none"/>
          <w:lang w:val="zh-CN"/>
        </w:rPr>
        <w:t>》</w:t>
      </w:r>
    </w:p>
    <w:p>
      <w:pPr>
        <w:ind w:firstLine="480" w:firstLineChars="200"/>
        <w:jc w:val="lef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GB/T 21873-2008《</w:t>
      </w:r>
      <w:r>
        <w:rPr>
          <w:rFonts w:asciiTheme="minorEastAsia" w:hAnsiTheme="minorEastAsia" w:eastAsiaTheme="minorEastAsia" w:cstheme="minorEastAsia"/>
          <w:sz w:val="24"/>
          <w:highlight w:val="none"/>
        </w:rPr>
        <w:t>橡胶密封件 给、排水管及污水管道用接口密封圈 材</w:t>
      </w:r>
      <w:r>
        <w:rPr>
          <w:rFonts w:asciiTheme="minorEastAsia" w:hAnsiTheme="minorEastAsia" w:eastAsiaTheme="minorEastAsia" w:cstheme="minorEastAsia"/>
          <w:color w:val="000000"/>
          <w:sz w:val="24"/>
          <w:highlight w:val="none"/>
        </w:rPr>
        <w:t>料规范</w:t>
      </w:r>
      <w:r>
        <w:rPr>
          <w:rFonts w:hint="eastAsia" w:asciiTheme="minorEastAsia" w:hAnsiTheme="minorEastAsia" w:eastAsiaTheme="minorEastAsia" w:cstheme="minorEastAsia"/>
          <w:color w:val="000000"/>
          <w:sz w:val="24"/>
          <w:highlight w:val="none"/>
        </w:rPr>
        <w:t>》</w:t>
      </w:r>
    </w:p>
    <w:p>
      <w:pPr>
        <w:ind w:firstLine="480" w:firstLineChars="200"/>
        <w:jc w:val="left"/>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GB/T 17219-1998《生活饮用水输配</w:t>
      </w:r>
      <w:r>
        <w:rPr>
          <w:rFonts w:hint="eastAsia" w:asciiTheme="minorEastAsia" w:hAnsiTheme="minorEastAsia" w:eastAsiaTheme="minorEastAsia" w:cstheme="minorEastAsia"/>
          <w:sz w:val="24"/>
          <w:highlight w:val="none"/>
        </w:rPr>
        <w:t>水设备及防护材料卫生安全性评价标准》</w:t>
      </w:r>
    </w:p>
    <w:p>
      <w:pPr>
        <w:numPr>
          <w:ilvl w:val="0"/>
          <w:numId w:val="2"/>
        </w:numPr>
        <w:jc w:val="left"/>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000000"/>
          <w:sz w:val="24"/>
          <w:highlight w:val="none"/>
        </w:rPr>
        <w:t>技术要求</w:t>
      </w:r>
    </w:p>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b/>
          <w:bCs/>
          <w:sz w:val="24"/>
          <w:highlight w:val="none"/>
        </w:rPr>
        <w:t>1.外观要求</w:t>
      </w:r>
    </w:p>
    <w:p>
      <w:pPr>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球墨铸铁管和管件的防腐外防采用外表面喷涂金属锌层外加沥青涂料或与锌涂层相容的合成树脂涂料作为终饰涂层材料；</w:t>
      </w:r>
      <w:r>
        <w:rPr>
          <w:rFonts w:hint="eastAsia" w:asciiTheme="minorEastAsia" w:hAnsiTheme="minorEastAsia" w:eastAsiaTheme="minorEastAsia" w:cstheme="minorEastAsia"/>
          <w:sz w:val="24"/>
          <w:highlight w:val="none"/>
        </w:rPr>
        <w:t>内防采用硅酸盐水泥砂浆内衬。</w:t>
      </w:r>
      <w:r>
        <w:rPr>
          <w:rFonts w:hint="eastAsia" w:asciiTheme="minorEastAsia" w:hAnsiTheme="minorEastAsia" w:eastAsiaTheme="minorEastAsia" w:cstheme="minorEastAsia"/>
          <w:sz w:val="24"/>
          <w:highlight w:val="none"/>
          <w:lang w:val="zh-CN"/>
        </w:rPr>
        <w:t>内外表面不允许有妨碍使用的缺陷。涂覆前，内外表面应光洁，无铁锈、铁片。涂覆后，内外表面应光洁，涂层均匀、粘附牢固，并不因气候冷热而发生异常。</w:t>
      </w:r>
      <w:r>
        <w:rPr>
          <w:rFonts w:hint="eastAsia" w:asciiTheme="minorEastAsia" w:hAnsiTheme="minorEastAsia" w:eastAsiaTheme="minorEastAsia" w:cstheme="minorEastAsia"/>
          <w:sz w:val="24"/>
        </w:rPr>
        <w:t xml:space="preserve">  </w:t>
      </w:r>
    </w:p>
    <w:p>
      <w:pPr>
        <w:numPr>
          <w:ilvl w:val="0"/>
          <w:numId w:val="3"/>
        </w:numPr>
        <w:ind w:firstLine="482" w:firstLineChars="20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压力、壁厚及</w:t>
      </w:r>
      <w:r>
        <w:rPr>
          <w:rFonts w:hint="eastAsia" w:asciiTheme="minorEastAsia" w:hAnsiTheme="minorEastAsia" w:eastAsiaTheme="minorEastAsia" w:cstheme="minorEastAsia"/>
          <w:b/>
          <w:bCs/>
          <w:sz w:val="24"/>
        </w:rPr>
        <w:t>尺寸要求</w:t>
      </w:r>
    </w:p>
    <w:p>
      <w:pPr>
        <w:ind w:firstLine="480" w:firstLineChars="200"/>
        <w:jc w:val="left"/>
        <w:rPr>
          <w:rFonts w:hint="eastAsia" w:ascii="宋体" w:hAnsi="宋体" w:cs="仿宋_GB2312"/>
          <w:sz w:val="24"/>
          <w:highlight w:val="none"/>
        </w:rPr>
      </w:pPr>
      <w:r>
        <w:rPr>
          <w:rFonts w:hint="eastAsia" w:ascii="宋体" w:hAnsi="宋体" w:cs="仿宋_GB2312"/>
          <w:sz w:val="24"/>
          <w:highlight w:val="none"/>
        </w:rPr>
        <w:t>柔性接口部件的首选压力等级为C25、C30和C40。也可选用其他的压力等级,包括C50、C64</w:t>
      </w:r>
      <w:r>
        <w:rPr>
          <w:rFonts w:hint="eastAsia" w:ascii="宋体" w:hAnsi="宋体" w:cs="仿宋_GB2312"/>
          <w:sz w:val="24"/>
          <w:highlight w:val="none"/>
        </w:rPr>
        <w:t>和C100。带有法兰接口部件的首选压力等级为PN10、PN16、PN25和PN40。法兰接口管应以法兰的公称压力PN 值分类。法兰接口管直管的压力等级应等于或大于法兰的公称压力PN 值。</w:t>
      </w:r>
    </w:p>
    <w:p>
      <w:pPr>
        <w:ind w:firstLine="480" w:firstLineChars="200"/>
        <w:jc w:val="left"/>
        <w:rPr>
          <w:rFonts w:hint="eastAsia" w:ascii="宋体" w:hAnsi="宋体" w:eastAsia="宋体" w:cs="仿宋_GB2312"/>
          <w:sz w:val="24"/>
          <w:highlight w:val="none"/>
          <w:lang w:eastAsia="zh-CN"/>
        </w:rPr>
      </w:pPr>
      <w:r>
        <w:rPr>
          <w:rFonts w:hint="eastAsia" w:ascii="宋体" w:hAnsi="宋体" w:cs="仿宋_GB2312"/>
          <w:sz w:val="24"/>
          <w:highlight w:val="none"/>
        </w:rPr>
        <w:t>离心铸造管的最小公称壁厚为6 mm</w:t>
      </w:r>
      <w:r>
        <w:rPr>
          <w:rFonts w:hint="eastAsia" w:ascii="宋体" w:hAnsi="宋体" w:cs="仿宋_GB2312"/>
          <w:sz w:val="24"/>
          <w:highlight w:val="none"/>
          <w:lang w:eastAsia="zh-CN"/>
        </w:rPr>
        <w:t>，</w:t>
      </w:r>
      <w:r>
        <w:rPr>
          <w:rFonts w:hint="eastAsia" w:ascii="宋体" w:hAnsi="宋体" w:cs="仿宋_GB2312"/>
          <w:sz w:val="24"/>
          <w:highlight w:val="none"/>
        </w:rPr>
        <w:t>公称壁厚为 6 mm 时</w:t>
      </w:r>
      <w:r>
        <w:rPr>
          <w:rFonts w:hint="eastAsia" w:ascii="宋体" w:hAnsi="宋体" w:cs="仿宋_GB2312"/>
          <w:sz w:val="24"/>
          <w:highlight w:val="none"/>
          <w:lang w:eastAsia="zh-CN"/>
        </w:rPr>
        <w:t>，</w:t>
      </w:r>
      <w:r>
        <w:rPr>
          <w:rFonts w:hint="eastAsia" w:ascii="宋体" w:hAnsi="宋体" w:cs="仿宋_GB2312"/>
          <w:sz w:val="24"/>
          <w:highlight w:val="none"/>
        </w:rPr>
        <w:t>最小壁厚为 4.7 mm</w:t>
      </w:r>
      <w:r>
        <w:rPr>
          <w:rFonts w:hint="eastAsia" w:ascii="宋体" w:hAnsi="宋体" w:cs="仿宋_GB2312"/>
          <w:sz w:val="24"/>
          <w:highlight w:val="none"/>
          <w:lang w:eastAsia="zh-CN"/>
        </w:rPr>
        <w:t>，</w:t>
      </w:r>
      <w:r>
        <w:rPr>
          <w:rFonts w:hint="eastAsia" w:ascii="宋体" w:hAnsi="宋体" w:cs="仿宋_GB2312"/>
          <w:sz w:val="24"/>
          <w:highlight w:val="none"/>
        </w:rPr>
        <w:t>公称壁厚大于6mm时</w:t>
      </w:r>
      <w:r>
        <w:rPr>
          <w:rFonts w:hint="eastAsia" w:ascii="宋体" w:hAnsi="宋体" w:cs="仿宋_GB2312"/>
          <w:sz w:val="24"/>
          <w:highlight w:val="none"/>
          <w:lang w:eastAsia="zh-CN"/>
        </w:rPr>
        <w:t>，</w:t>
      </w:r>
      <w:r>
        <w:rPr>
          <w:rFonts w:hint="eastAsia" w:ascii="宋体" w:hAnsi="宋体" w:cs="仿宋_GB2312"/>
          <w:sz w:val="24"/>
          <w:highlight w:val="none"/>
        </w:rPr>
        <w:t>最小壁厚e</w:t>
      </w:r>
      <w:r>
        <w:rPr>
          <w:rFonts w:hint="eastAsia" w:ascii="宋体" w:hAnsi="宋体" w:cs="仿宋_GB2312"/>
          <w:sz w:val="24"/>
          <w:highlight w:val="none"/>
          <w:vertAlign w:val="subscript"/>
          <w:lang w:val="en-US" w:eastAsia="zh-CN"/>
        </w:rPr>
        <w:t>min</w:t>
      </w:r>
      <w:r>
        <w:rPr>
          <w:rFonts w:hint="eastAsia" w:ascii="宋体" w:hAnsi="宋体" w:cs="仿宋_GB2312"/>
          <w:sz w:val="24"/>
          <w:highlight w:val="none"/>
        </w:rPr>
        <w:t>等于公称壁厚减去(1.3+0.001DN)</w:t>
      </w:r>
      <w:r>
        <w:rPr>
          <w:rFonts w:hint="eastAsia" w:ascii="宋体" w:hAnsi="宋体" w:cs="仿宋_GB2312"/>
          <w:sz w:val="24"/>
          <w:highlight w:val="none"/>
          <w:lang w:eastAsia="zh-CN"/>
        </w:rPr>
        <w:t>。</w:t>
      </w:r>
    </w:p>
    <w:p>
      <w:pPr>
        <w:numPr>
          <w:ilvl w:val="0"/>
          <w:numId w:val="0"/>
        </w:numPr>
        <w:ind w:firstLine="480" w:firstLineChars="200"/>
        <w:jc w:val="left"/>
        <w:rPr>
          <w:rFonts w:asciiTheme="minorEastAsia" w:hAnsiTheme="minorEastAsia" w:eastAsiaTheme="minorEastAsia" w:cstheme="minorEastAsia"/>
          <w:sz w:val="24"/>
        </w:rPr>
      </w:pPr>
      <w:r>
        <w:rPr>
          <w:rFonts w:hint="default" w:asciiTheme="minorEastAsia" w:hAnsiTheme="minorEastAsia" w:eastAsiaTheme="minorEastAsia" w:cstheme="minorEastAsia"/>
          <w:sz w:val="24"/>
          <w:lang w:val="en-US" w:eastAsia="zh-CN"/>
        </w:rPr>
        <w:t>球墨铸铁管和管件</w:t>
      </w:r>
      <w:r>
        <w:rPr>
          <w:rFonts w:hint="eastAsia" w:asciiTheme="minorEastAsia" w:hAnsiTheme="minorEastAsia" w:eastAsiaTheme="minorEastAsia" w:cstheme="minorEastAsia"/>
          <w:sz w:val="24"/>
          <w:lang w:val="en-US" w:eastAsia="zh-CN"/>
        </w:rPr>
        <w:t>的直径、长度、直线度在</w:t>
      </w:r>
      <w:r>
        <w:rPr>
          <w:rFonts w:hint="eastAsia" w:asciiTheme="minorEastAsia" w:hAnsiTheme="minorEastAsia" w:eastAsiaTheme="minorEastAsia" w:cstheme="minorEastAsia"/>
          <w:sz w:val="24"/>
        </w:rPr>
        <w:t>GB/T 13295-2019规范要求范围内</w:t>
      </w:r>
      <w:r>
        <w:rPr>
          <w:rFonts w:hint="eastAsia" w:asciiTheme="minorEastAsia" w:hAnsiTheme="minorEastAsia" w:eastAsiaTheme="minorEastAsia" w:cstheme="minorEastAsia"/>
          <w:sz w:val="24"/>
          <w:lang w:val="en-US" w:eastAsia="zh-CN"/>
        </w:rPr>
        <w:t>。</w:t>
      </w:r>
    </w:p>
    <w:p>
      <w:pPr>
        <w:pStyle w:val="24"/>
        <w:ind w:firstLine="600" w:firstLineChars="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3</w:t>
      </w:r>
      <w:r>
        <w:rPr>
          <w:rFonts w:hint="eastAsia" w:asciiTheme="minorEastAsia" w:hAnsiTheme="minorEastAsia" w:eastAsiaTheme="minorEastAsia" w:cstheme="minorEastAsia"/>
          <w:b/>
          <w:bCs/>
          <w:sz w:val="24"/>
        </w:rPr>
        <w:t>.规格性能指标</w:t>
      </w:r>
    </w:p>
    <w:p>
      <w:pPr>
        <w:ind w:firstLine="56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bCs/>
          <w:sz w:val="24"/>
        </w:rPr>
        <w:t>1</w:t>
      </w:r>
      <w:r>
        <w:rPr>
          <w:rFonts w:hint="eastAsia" w:asciiTheme="minorEastAsia" w:hAnsiTheme="minorEastAsia" w:eastAsiaTheme="minorEastAsia" w:cstheme="minorEastAsia"/>
          <w:bCs/>
          <w:sz w:val="24"/>
          <w:lang w:val="zh-CN"/>
        </w:rPr>
        <w:t>）球墨</w:t>
      </w:r>
      <w:r>
        <w:rPr>
          <w:rFonts w:hint="eastAsia" w:asciiTheme="minorEastAsia" w:hAnsiTheme="minorEastAsia" w:eastAsiaTheme="minorEastAsia" w:cstheme="minorEastAsia"/>
          <w:sz w:val="24"/>
          <w:lang w:val="zh-CN"/>
        </w:rPr>
        <w:t>铸铁管的材质应为铁素体基体的球墨铸铁。</w:t>
      </w:r>
      <w:r>
        <w:rPr>
          <w:rFonts w:hint="eastAsia" w:asciiTheme="minorEastAsia" w:hAnsiTheme="minorEastAsia" w:eastAsiaTheme="minorEastAsia" w:cstheme="minorEastAsia"/>
          <w:sz w:val="24"/>
        </w:rPr>
        <w:t>球墨铸铁管</w:t>
      </w:r>
      <w:r>
        <w:rPr>
          <w:rFonts w:hint="eastAsia" w:asciiTheme="minorEastAsia" w:hAnsiTheme="minorEastAsia" w:eastAsiaTheme="minorEastAsia" w:cstheme="minorEastAsia"/>
          <w:sz w:val="24"/>
          <w:lang w:val="en-US" w:eastAsia="zh-CN"/>
        </w:rPr>
        <w:t>的</w:t>
      </w:r>
      <w:r>
        <w:rPr>
          <w:rFonts w:hint="eastAsia" w:asciiTheme="minorEastAsia" w:hAnsiTheme="minorEastAsia" w:eastAsiaTheme="minorEastAsia" w:cstheme="minorEastAsia"/>
          <w:sz w:val="24"/>
          <w:lang w:val="zh-CN"/>
        </w:rPr>
        <w:t>壁厚级别系数为</w:t>
      </w:r>
      <w:r>
        <w:rPr>
          <w:rFonts w:hint="eastAsia" w:asciiTheme="minorEastAsia" w:hAnsiTheme="minorEastAsia" w:eastAsiaTheme="minorEastAsia" w:cstheme="minorEastAsia"/>
          <w:sz w:val="24"/>
          <w:lang w:val="en-US" w:eastAsia="zh-CN"/>
        </w:rPr>
        <w:t>K</w:t>
      </w:r>
      <w:r>
        <w:rPr>
          <w:rFonts w:hint="eastAsia" w:asciiTheme="minorEastAsia" w:hAnsiTheme="minorEastAsia" w:eastAsiaTheme="minorEastAsia" w:cstheme="minorEastAsia"/>
          <w:sz w:val="24"/>
        </w:rPr>
        <w:t>9级，</w:t>
      </w:r>
      <w:r>
        <w:rPr>
          <w:rFonts w:hint="eastAsia" w:asciiTheme="minorEastAsia" w:hAnsiTheme="minorEastAsia" w:eastAsiaTheme="minorEastAsia" w:cstheme="minorEastAsia"/>
          <w:sz w:val="24"/>
          <w:highlight w:val="none"/>
          <w:lang w:val="zh-CN"/>
        </w:rPr>
        <w:t>管件的壁厚级别系数K三通取14（管件中承插单支承、承插单支盘的壁厚等级调整为K12），其他取12</w:t>
      </w:r>
      <w:r>
        <w:rPr>
          <w:rFonts w:hint="eastAsia" w:asciiTheme="minorEastAsia" w:hAnsiTheme="minorEastAsia" w:eastAsiaTheme="minorEastAsia" w:cstheme="minorEastAsia"/>
          <w:sz w:val="24"/>
          <w:highlight w:val="none"/>
        </w:rPr>
        <w:t>。</w:t>
      </w:r>
    </w:p>
    <w:p>
      <w:pPr>
        <w:ind w:firstLine="56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管材采用离心铸造工艺生产，必须经过退火处理，力学性能如下所示：</w:t>
      </w:r>
    </w:p>
    <w:tbl>
      <w:tblPr>
        <w:tblStyle w:val="12"/>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000"/>
        <w:gridCol w:w="2559"/>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25" w:type="dxa"/>
            <w:vAlign w:val="center"/>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抗拉强度（MPa）</w:t>
            </w:r>
          </w:p>
        </w:tc>
        <w:tc>
          <w:tcPr>
            <w:tcW w:w="2000" w:type="dxa"/>
            <w:vAlign w:val="center"/>
          </w:tcPr>
          <w:p>
            <w:pPr>
              <w:jc w:val="center"/>
              <w:rPr>
                <w:rFonts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sz w:val="24"/>
                <w:lang w:val="zh-CN"/>
              </w:rPr>
              <w:t>硬度（HBW）</w:t>
            </w:r>
          </w:p>
        </w:tc>
        <w:tc>
          <w:tcPr>
            <w:tcW w:w="4746" w:type="dxa"/>
            <w:gridSpan w:val="2"/>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断后伸长率（%）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25" w:type="dxa"/>
            <w:vMerge w:val="restart"/>
            <w:vAlign w:val="center"/>
          </w:tcPr>
          <w:p>
            <w:pPr>
              <w:jc w:val="center"/>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sz w:val="24"/>
                <w:lang w:val="zh-CN"/>
              </w:rPr>
              <w:t>≥420</w:t>
            </w:r>
          </w:p>
        </w:tc>
        <w:tc>
          <w:tcPr>
            <w:tcW w:w="2000" w:type="dxa"/>
            <w:vMerge w:val="restart"/>
            <w:vAlign w:val="center"/>
          </w:tcPr>
          <w:p>
            <w:pPr>
              <w:jc w:val="center"/>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sz w:val="24"/>
                <w:lang w:val="zh-CN"/>
              </w:rPr>
              <w:t>≤230</w:t>
            </w:r>
          </w:p>
        </w:tc>
        <w:tc>
          <w:tcPr>
            <w:tcW w:w="2559" w:type="dxa"/>
            <w:vAlign w:val="center"/>
          </w:tcPr>
          <w:p>
            <w:pPr>
              <w:jc w:val="center"/>
              <w:rPr>
                <w:rFonts w:hint="default" w:eastAsia="宋体" w:asciiTheme="minorEastAsia" w:hAnsiTheme="minorEastAsia" w:cstheme="minorEastAsia"/>
                <w:sz w:val="24"/>
                <w:lang w:val="en-US" w:eastAsia="zh-CN"/>
              </w:rPr>
            </w:pPr>
            <w:r>
              <w:rPr>
                <w:rFonts w:hint="eastAsia" w:ascii="宋体" w:hAnsi="宋体" w:cs="仿宋_GB2312"/>
                <w:sz w:val="24"/>
                <w:highlight w:val="none"/>
              </w:rPr>
              <w:t>DN</w:t>
            </w:r>
            <w:r>
              <w:rPr>
                <w:rFonts w:hint="eastAsia" w:ascii="宋体" w:hAnsi="宋体" w:cs="仿宋_GB2312"/>
                <w:sz w:val="24"/>
                <w:highlight w:val="none"/>
                <w:lang w:val="en-US" w:eastAsia="zh-CN"/>
              </w:rPr>
              <w:t>40-</w:t>
            </w:r>
            <w:r>
              <w:rPr>
                <w:rFonts w:hint="eastAsia" w:ascii="宋体" w:hAnsi="宋体" w:cs="仿宋_GB2312"/>
                <w:sz w:val="24"/>
                <w:highlight w:val="none"/>
              </w:rPr>
              <w:t>DN</w:t>
            </w:r>
            <w:r>
              <w:rPr>
                <w:rFonts w:hint="eastAsia" w:ascii="宋体" w:hAnsi="宋体" w:cs="仿宋_GB2312"/>
                <w:sz w:val="24"/>
                <w:highlight w:val="none"/>
                <w:lang w:val="en-US" w:eastAsia="zh-CN"/>
              </w:rPr>
              <w:t>1000</w:t>
            </w:r>
          </w:p>
        </w:tc>
        <w:tc>
          <w:tcPr>
            <w:tcW w:w="2187" w:type="dxa"/>
            <w:vAlign w:val="center"/>
          </w:tcPr>
          <w:p>
            <w:pPr>
              <w:jc w:val="center"/>
              <w:rPr>
                <w:rFonts w:asciiTheme="minorEastAsia" w:hAnsiTheme="minorEastAsia" w:eastAsiaTheme="minorEastAsia" w:cstheme="minorEastAsia"/>
                <w:sz w:val="24"/>
                <w:lang w:val="zh-CN"/>
              </w:rPr>
            </w:pPr>
            <w:r>
              <w:rPr>
                <w:rFonts w:hint="eastAsia" w:ascii="宋体" w:hAnsi="宋体" w:cs="仿宋_GB2312"/>
                <w:sz w:val="24"/>
                <w:highlight w:val="none"/>
              </w:rPr>
              <w:t>DN</w:t>
            </w:r>
            <w:r>
              <w:rPr>
                <w:rFonts w:hint="eastAsia" w:ascii="宋体" w:hAnsi="宋体" w:cs="仿宋_GB2312"/>
                <w:sz w:val="24"/>
                <w:highlight w:val="none"/>
                <w:lang w:val="en-US" w:eastAsia="zh-CN"/>
              </w:rPr>
              <w:t>1100-</w:t>
            </w:r>
            <w:r>
              <w:rPr>
                <w:rFonts w:hint="eastAsia" w:ascii="宋体" w:hAnsi="宋体" w:cs="仿宋_GB2312"/>
                <w:sz w:val="24"/>
                <w:highlight w:val="none"/>
              </w:rPr>
              <w:t>DN</w:t>
            </w:r>
            <w:r>
              <w:rPr>
                <w:rFonts w:hint="eastAsia" w:ascii="宋体" w:hAnsi="宋体" w:cs="仿宋_GB2312"/>
                <w:sz w:val="24"/>
                <w:highlight w:val="no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225" w:type="dxa"/>
            <w:vMerge w:val="continue"/>
            <w:tcBorders/>
            <w:vAlign w:val="center"/>
          </w:tcPr>
          <w:p>
            <w:pPr>
              <w:jc w:val="center"/>
              <w:rPr>
                <w:rFonts w:hint="eastAsia" w:asciiTheme="minorEastAsia" w:hAnsiTheme="minorEastAsia" w:eastAsiaTheme="minorEastAsia" w:cstheme="minorEastAsia"/>
                <w:kern w:val="2"/>
                <w:sz w:val="24"/>
                <w:szCs w:val="24"/>
                <w:lang w:val="zh-CN" w:eastAsia="zh-CN" w:bidi="ar-SA"/>
              </w:rPr>
            </w:pPr>
          </w:p>
        </w:tc>
        <w:tc>
          <w:tcPr>
            <w:tcW w:w="2000" w:type="dxa"/>
            <w:vMerge w:val="continue"/>
            <w:tcBorders/>
            <w:vAlign w:val="center"/>
          </w:tcPr>
          <w:p>
            <w:pPr>
              <w:jc w:val="center"/>
              <w:rPr>
                <w:rFonts w:hint="eastAsia" w:asciiTheme="minorEastAsia" w:hAnsiTheme="minorEastAsia" w:eastAsiaTheme="minorEastAsia" w:cstheme="minorEastAsia"/>
                <w:kern w:val="2"/>
                <w:sz w:val="24"/>
                <w:szCs w:val="24"/>
                <w:lang w:val="zh-CN" w:eastAsia="zh-CN" w:bidi="ar-SA"/>
              </w:rPr>
            </w:pPr>
          </w:p>
        </w:tc>
        <w:tc>
          <w:tcPr>
            <w:tcW w:w="2559" w:type="dxa"/>
            <w:vAlign w:val="center"/>
          </w:tcPr>
          <w:p>
            <w:pPr>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10</w:t>
            </w:r>
          </w:p>
        </w:tc>
        <w:tc>
          <w:tcPr>
            <w:tcW w:w="2187" w:type="dxa"/>
            <w:vAlign w:val="center"/>
          </w:tcPr>
          <w:p>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7</w:t>
            </w:r>
          </w:p>
        </w:tc>
      </w:tr>
    </w:tbl>
    <w:p>
      <w:pPr>
        <w:numPr>
          <w:numId w:val="0"/>
        </w:numPr>
        <w:ind w:firstLine="480" w:firstLineChars="200"/>
        <w:jc w:val="left"/>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val="zh-CN"/>
        </w:rPr>
        <w:t>金属锌喷涂的厚度应不小于130g/㎡，金属锌的含锌量</w:t>
      </w:r>
      <w:r>
        <w:rPr>
          <w:rFonts w:hint="eastAsia" w:asciiTheme="minorEastAsia" w:hAnsiTheme="minorEastAsia" w:eastAsiaTheme="minorEastAsia" w:cstheme="minorEastAsia"/>
          <w:sz w:val="24"/>
          <w:lang w:val="en-US" w:eastAsia="zh-CN"/>
        </w:rPr>
        <w:t>不低于</w:t>
      </w:r>
      <w:r>
        <w:rPr>
          <w:rFonts w:hint="eastAsia" w:asciiTheme="minorEastAsia" w:hAnsiTheme="minorEastAsia" w:eastAsiaTheme="minorEastAsia" w:cstheme="minorEastAsia"/>
          <w:sz w:val="24"/>
          <w:lang w:val="zh-CN"/>
        </w:rPr>
        <w:t>为99.9</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val="zh-CN"/>
        </w:rPr>
        <w:t>%。</w:t>
      </w:r>
    </w:p>
    <w:p>
      <w:pPr>
        <w:numPr>
          <w:numId w:val="0"/>
        </w:numPr>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val="zh-CN"/>
        </w:rPr>
        <w:t>管材、管件内衬水泥砂浆、外壁锌+沥青涂料或与锌涂层相容的合成树脂涂料，内衬</w:t>
      </w:r>
      <w:r>
        <w:rPr>
          <w:rFonts w:hint="eastAsia" w:asciiTheme="minorEastAsia" w:hAnsiTheme="minorEastAsia" w:eastAsiaTheme="minorEastAsia" w:cstheme="minorEastAsia"/>
          <w:sz w:val="24"/>
          <w:lang w:val="zh-CN"/>
        </w:rPr>
        <w:t>水泥符合</w:t>
      </w:r>
      <w:r>
        <w:rPr>
          <w:rFonts w:hint="eastAsia" w:asciiTheme="minorEastAsia" w:hAnsiTheme="minorEastAsia" w:eastAsiaTheme="minorEastAsia" w:cstheme="minorEastAsia"/>
          <w:sz w:val="24"/>
        </w:rPr>
        <w:t>GB/T 17457</w:t>
      </w:r>
      <w:r>
        <w:rPr>
          <w:rFonts w:hint="eastAsia" w:asciiTheme="minorEastAsia" w:hAnsiTheme="minorEastAsia" w:eastAsiaTheme="minorEastAsia" w:cstheme="minorEastAsia"/>
          <w:sz w:val="24"/>
          <w:lang w:val="zh-CN"/>
        </w:rPr>
        <w:t>标准的规定，外涂沥青符合</w:t>
      </w:r>
      <w:r>
        <w:rPr>
          <w:rFonts w:hint="eastAsia" w:asciiTheme="minorEastAsia" w:hAnsiTheme="minorEastAsia" w:eastAsiaTheme="minorEastAsia" w:cstheme="minorEastAsia"/>
          <w:sz w:val="24"/>
        </w:rPr>
        <w:t>GB/T 1745</w:t>
      </w:r>
      <w:r>
        <w:rPr>
          <w:rFonts w:hint="eastAsia" w:asciiTheme="minorEastAsia" w:hAnsiTheme="minorEastAsia" w:eastAsiaTheme="minorEastAsia" w:cstheme="minorEastAsia"/>
          <w:sz w:val="24"/>
          <w:lang w:val="en-US" w:eastAsia="zh-CN"/>
        </w:rPr>
        <w:t>9</w:t>
      </w:r>
      <w:r>
        <w:rPr>
          <w:rFonts w:hint="eastAsia" w:asciiTheme="minorEastAsia" w:hAnsiTheme="minorEastAsia" w:eastAsiaTheme="minorEastAsia" w:cstheme="minorEastAsia"/>
          <w:sz w:val="24"/>
          <w:lang w:val="zh-CN"/>
        </w:rPr>
        <w:t>标准的规定。并出具省级以上卫生部门的检验报告。</w:t>
      </w:r>
    </w:p>
    <w:p>
      <w:pPr>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val="zh-CN"/>
        </w:rPr>
        <w:t>水压试验、抗拉强度、伸长率应符合GB/T13295-201</w:t>
      </w: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lang w:val="zh-CN"/>
        </w:rPr>
        <w:t>标准的规定。</w:t>
      </w:r>
    </w:p>
    <w:p>
      <w:pPr>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6</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color w:val="000000"/>
          <w:sz w:val="24"/>
        </w:rPr>
        <w:t>用于输送饮用水的输水管网橡胶密封制品和润滑剂</w:t>
      </w:r>
      <w:r>
        <w:rPr>
          <w:rFonts w:hint="eastAsia" w:asciiTheme="minorEastAsia" w:hAnsiTheme="minorEastAsia" w:eastAsiaTheme="minorEastAsia" w:cstheme="minorEastAsia"/>
          <w:color w:val="000000"/>
          <w:sz w:val="24"/>
          <w:lang w:val="en-US" w:eastAsia="zh-CN"/>
        </w:rPr>
        <w:t>的</w:t>
      </w:r>
      <w:r>
        <w:rPr>
          <w:rFonts w:hint="eastAsia" w:asciiTheme="minorEastAsia" w:hAnsiTheme="minorEastAsia" w:eastAsiaTheme="minorEastAsia" w:cstheme="minorEastAsia"/>
          <w:sz w:val="24"/>
        </w:rPr>
        <w:t>卫生安全性</w:t>
      </w:r>
      <w:r>
        <w:rPr>
          <w:rFonts w:hint="eastAsia" w:asciiTheme="minorEastAsia" w:hAnsiTheme="minorEastAsia" w:eastAsiaTheme="minorEastAsia" w:cstheme="minorEastAsia"/>
          <w:color w:val="000000"/>
          <w:sz w:val="24"/>
        </w:rPr>
        <w:t>必须符合GB</w:t>
      </w:r>
      <w:r>
        <w:rPr>
          <w:rFonts w:hint="eastAsia" w:asciiTheme="minorEastAsia" w:hAnsiTheme="minorEastAsia" w:eastAsiaTheme="minorEastAsia" w:cstheme="minorEastAsia"/>
          <w:sz w:val="24"/>
        </w:rPr>
        <w:t>/T17219《生活饮用水输配水设备及防护材料卫生安全性评价标准》。</w:t>
      </w:r>
      <w:r>
        <w:rPr>
          <w:rFonts w:hint="eastAsia" w:asciiTheme="minorEastAsia" w:hAnsiTheme="minorEastAsia" w:eastAsiaTheme="minorEastAsia" w:cstheme="minorEastAsia"/>
          <w:sz w:val="24"/>
          <w:lang w:val="zh-CN"/>
        </w:rPr>
        <w:t>橡胶圈执行</w:t>
      </w:r>
      <w:r>
        <w:rPr>
          <w:rFonts w:hint="eastAsia" w:asciiTheme="minorEastAsia" w:hAnsiTheme="minorEastAsia" w:eastAsiaTheme="minorEastAsia" w:cstheme="minorEastAsia"/>
          <w:sz w:val="24"/>
        </w:rPr>
        <w:t>GB/T 21873</w:t>
      </w:r>
      <w:r>
        <w:rPr>
          <w:rFonts w:hint="eastAsia" w:asciiTheme="minorEastAsia" w:hAnsiTheme="minorEastAsia" w:eastAsiaTheme="minorEastAsia" w:cstheme="minorEastAsia"/>
          <w:sz w:val="24"/>
          <w:lang w:val="zh-CN"/>
        </w:rPr>
        <w:t>《橡胶密封件供水、排水、污水管道用密封环材料规范》，提供橡胶材质名称、生产厂家、材料来源。</w:t>
      </w:r>
    </w:p>
    <w:p>
      <w:pPr>
        <w:ind w:firstLine="482"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4</w:t>
      </w:r>
      <w:r>
        <w:rPr>
          <w:rFonts w:hint="eastAsia" w:asciiTheme="minorEastAsia" w:hAnsiTheme="minorEastAsia" w:eastAsiaTheme="minorEastAsia" w:cstheme="minorEastAsia"/>
          <w:b/>
          <w:bCs/>
          <w:sz w:val="24"/>
        </w:rPr>
        <w:t>.连接方式</w:t>
      </w:r>
    </w:p>
    <w:p>
      <w:pPr>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球墨铸铁管的接口形式分为柔性接口和刚性接口。柔性接口为承插式连接，包括滑入式（T型）和机械式（K型）；刚性接口分承插式和法兰式连接。按需求方要求提供相应管材。</w:t>
      </w:r>
    </w:p>
    <w:p>
      <w:pPr>
        <w:ind w:firstLine="482" w:firstLineChars="200"/>
        <w:jc w:val="left"/>
        <w:rPr>
          <w:rFonts w:hint="default" w:asciiTheme="minorEastAsia" w:hAnsiTheme="minorEastAsia" w:eastAsiaTheme="minorEastAsia" w:cstheme="minorEastAsia"/>
          <w:b/>
          <w:bCs/>
          <w:sz w:val="24"/>
          <w:lang w:val="en-US" w:eastAsia="zh-CN"/>
        </w:rPr>
      </w:pPr>
      <w:r>
        <w:rPr>
          <w:rFonts w:hint="eastAsia" w:asciiTheme="minorEastAsia" w:hAnsiTheme="minorEastAsia" w:eastAsiaTheme="minorEastAsia" w:cstheme="minorEastAsia"/>
          <w:b/>
          <w:bCs/>
          <w:sz w:val="24"/>
          <w:lang w:val="en-US" w:eastAsia="zh-CN"/>
        </w:rPr>
        <w:t>5.标记</w:t>
      </w:r>
    </w:p>
    <w:p>
      <w:pPr>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每根管道和管件上应有清晰持久的标记，标记至少包括以下九项内容：制造厂名称或商标、生产年份、铸铁材质、规格（公称直径DN和法兰PN值）、标准编号；插口插入深度标识、产品批号、铸铁管可切割标识。</w:t>
      </w:r>
    </w:p>
    <w:p>
      <w:pPr>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（以上前</w:t>
      </w:r>
      <w:r>
        <w:rPr>
          <w:rFonts w:hint="eastAsia" w:asciiTheme="minorEastAsia" w:hAnsiTheme="minorEastAsia" w:eastAsiaTheme="minorEastAsia" w:cstheme="minorEastAsia"/>
          <w:sz w:val="24"/>
          <w:highlight w:val="none"/>
          <w:lang w:val="en-US" w:eastAsia="zh-CN"/>
        </w:rPr>
        <w:t>四</w:t>
      </w:r>
      <w:r>
        <w:rPr>
          <w:rFonts w:hint="eastAsia" w:asciiTheme="minorEastAsia" w:hAnsiTheme="minorEastAsia" w:eastAsiaTheme="minorEastAsia" w:cstheme="minorEastAsia"/>
          <w:sz w:val="24"/>
          <w:highlight w:val="none"/>
        </w:rPr>
        <w:t>项须铸出或冷冲，后四项可用任何方法进行</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w:t>
      </w:r>
      <w:r>
        <w:rPr>
          <w:rFonts w:hint="eastAsia" w:asciiTheme="minorEastAsia" w:hAnsiTheme="minorEastAsia" w:eastAsiaTheme="minorEastAsia" w:cstheme="minorEastAsia"/>
          <w:sz w:val="24"/>
          <w:highlight w:val="none"/>
        </w:rPr>
        <w:t>喷印或打印）</w:t>
      </w:r>
    </w:p>
    <w:p>
      <w:pPr>
        <w:numPr>
          <w:ilvl w:val="0"/>
          <w:numId w:val="0"/>
        </w:numPr>
        <w:spacing w:line="240" w:lineRule="auto"/>
        <w:jc w:val="left"/>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themeColor="text1"/>
          <w:sz w:val="24"/>
          <w:szCs w:val="24"/>
          <w:lang w:val="en-US" w:eastAsia="zh-CN"/>
          <w14:textFill>
            <w14:solidFill>
              <w14:schemeClr w14:val="tx1"/>
            </w14:solidFill>
          </w14:textFill>
        </w:rPr>
        <w:t>三</w:t>
      </w:r>
      <w:r>
        <w:rPr>
          <w:rFonts w:hint="eastAsia"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b/>
          <w:bCs/>
          <w:color w:val="000000"/>
          <w:sz w:val="24"/>
          <w:szCs w:val="24"/>
          <w:lang w:val="en-US" w:eastAsia="zh-CN"/>
        </w:rPr>
        <w:t>其他</w:t>
      </w:r>
    </w:p>
    <w:p>
      <w:pPr>
        <w:spacing w:line="240" w:lineRule="auto"/>
        <w:ind w:firstLine="240" w:firstLineChars="100"/>
        <w:jc w:val="left"/>
        <w:rPr>
          <w:rFonts w:hint="default" w:ascii="Times New Roman" w:hAnsi="Times New Roman" w:cs="Times New Roman" w:eastAsiaTheme="minorEastAsia"/>
          <w:sz w:val="24"/>
          <w:szCs w:val="24"/>
          <w:shd w:val="clear" w:color="auto" w:fill="FFFFFF"/>
        </w:rPr>
      </w:pPr>
      <w:r>
        <w:rPr>
          <w:rFonts w:hint="default" w:ascii="Times New Roman" w:hAnsi="Times New Roman" w:cs="Times New Roman" w:eastAsiaTheme="minorEastAsia"/>
          <w:sz w:val="24"/>
          <w:szCs w:val="24"/>
          <w:shd w:val="clear" w:color="auto" w:fill="FFFFFF"/>
          <w:lang w:val="en-US" w:eastAsia="zh-CN"/>
        </w:rPr>
        <w:t>1</w:t>
      </w:r>
      <w:r>
        <w:rPr>
          <w:rFonts w:hint="eastAsia" w:ascii="Times New Roman" w:hAnsi="Times New Roman" w:cs="Times New Roman" w:eastAsiaTheme="minorEastAsia"/>
          <w:sz w:val="24"/>
          <w:szCs w:val="24"/>
          <w:shd w:val="clear" w:color="auto" w:fill="FFFFFF"/>
          <w:lang w:val="en-US" w:eastAsia="zh-CN"/>
        </w:rPr>
        <w:t>.</w:t>
      </w:r>
      <w:r>
        <w:rPr>
          <w:rFonts w:hint="default" w:ascii="Times New Roman" w:hAnsi="Times New Roman" w:cs="Times New Roman" w:eastAsiaTheme="minorEastAsia"/>
          <w:sz w:val="24"/>
          <w:szCs w:val="24"/>
          <w:shd w:val="clear" w:color="auto" w:fill="FFFFFF"/>
        </w:rPr>
        <w:t>其他未尽事宜按照</w:t>
      </w:r>
      <w:r>
        <w:rPr>
          <w:rFonts w:hint="default" w:ascii="Times New Roman" w:hAnsi="Times New Roman" w:cs="Times New Roman" w:eastAsiaTheme="minorEastAsia"/>
          <w:sz w:val="24"/>
          <w:szCs w:val="24"/>
          <w:shd w:val="clear" w:color="auto" w:fill="FFFFFF"/>
          <w:lang w:val="en-US" w:eastAsia="zh-CN"/>
        </w:rPr>
        <w:t>设计要求或国标、行标规定</w:t>
      </w:r>
      <w:r>
        <w:rPr>
          <w:rFonts w:hint="default" w:ascii="Times New Roman" w:hAnsi="Times New Roman" w:cs="Times New Roman" w:eastAsiaTheme="minorEastAsia"/>
          <w:sz w:val="24"/>
          <w:szCs w:val="24"/>
          <w:shd w:val="clear" w:color="auto" w:fill="FFFFFF"/>
        </w:rPr>
        <w:t>。</w:t>
      </w:r>
    </w:p>
    <w:p>
      <w:pPr>
        <w:spacing w:line="240" w:lineRule="auto"/>
        <w:ind w:firstLine="240" w:firstLineChars="100"/>
        <w:jc w:val="left"/>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lang w:val="en-US" w:eastAsia="zh-CN"/>
        </w:rPr>
        <w:t>2</w:t>
      </w:r>
      <w:r>
        <w:rPr>
          <w:rFonts w:hint="eastAsia" w:ascii="Times New Roman" w:hAnsi="Times New Roman" w:cs="Times New Roman" w:eastAsiaTheme="minorEastAsia"/>
          <w:sz w:val="24"/>
          <w:szCs w:val="24"/>
          <w:highlight w:val="none"/>
          <w:lang w:val="en-US" w:eastAsia="zh-CN"/>
        </w:rPr>
        <w:t>.</w:t>
      </w:r>
      <w:r>
        <w:rPr>
          <w:rFonts w:hint="default" w:ascii="Times New Roman" w:hAnsi="Times New Roman" w:cs="Times New Roman" w:eastAsiaTheme="minorEastAsia"/>
          <w:sz w:val="24"/>
          <w:szCs w:val="24"/>
          <w:highlight w:val="none"/>
        </w:rPr>
        <w:t>质保期</w:t>
      </w:r>
      <w:r>
        <w:rPr>
          <w:rFonts w:hint="default" w:ascii="Times New Roman" w:hAnsi="Times New Roman" w:cs="Times New Roman" w:eastAsiaTheme="minorEastAsia"/>
          <w:sz w:val="24"/>
          <w:szCs w:val="24"/>
          <w:highlight w:val="none"/>
          <w:lang w:val="en-US" w:eastAsia="zh-CN"/>
        </w:rPr>
        <w:t>满足招标单位提出的要求，且不低于行业同类产品的质保年限</w:t>
      </w:r>
      <w:r>
        <w:rPr>
          <w:rFonts w:hint="default" w:ascii="Times New Roman" w:hAnsi="Times New Roman" w:cs="Times New Roman" w:eastAsiaTheme="minorEastAsia"/>
          <w:sz w:val="24"/>
          <w:szCs w:val="24"/>
          <w:highlight w:val="none"/>
        </w:rPr>
        <w:t>。</w:t>
      </w:r>
    </w:p>
    <w:p>
      <w:pPr>
        <w:ind w:firstLine="480" w:firstLineChars="200"/>
        <w:jc w:val="left"/>
        <w:rPr>
          <w:rFonts w:hint="eastAsia" w:asciiTheme="minorEastAsia" w:hAnsiTheme="minorEastAsia" w:eastAsiaTheme="minorEastAsia" w:cstheme="minorEastAsia"/>
          <w:sz w:val="24"/>
        </w:rPr>
      </w:pPr>
    </w:p>
    <w:p>
      <w:pPr>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jc w:val="left"/>
        <w:rPr>
          <w:rFonts w:asciiTheme="minorEastAsia" w:hAnsiTheme="minorEastAsia" w:eastAsiaTheme="minorEastAsia" w:cstheme="minorEastAsia"/>
          <w:color w:val="000000"/>
          <w:sz w:val="24"/>
        </w:rPr>
      </w:pPr>
    </w:p>
    <w:p>
      <w:pPr>
        <w:jc w:val="left"/>
        <w:rPr>
          <w:rFonts w:asciiTheme="minorEastAsia" w:hAnsiTheme="minorEastAsia" w:eastAsiaTheme="minorEastAsia" w:cstheme="minorEastAsia"/>
          <w:color w:val="000000"/>
          <w:sz w:val="24"/>
        </w:rPr>
      </w:pPr>
    </w:p>
    <w:p>
      <w:pPr>
        <w:jc w:val="left"/>
        <w:rPr>
          <w:rFonts w:asciiTheme="minorEastAsia" w:hAnsiTheme="minorEastAsia" w:eastAsiaTheme="minorEastAsia" w:cstheme="minorEastAsia"/>
          <w:color w:val="000000"/>
          <w:sz w:val="24"/>
        </w:rPr>
      </w:pPr>
    </w:p>
    <w:p>
      <w:pPr>
        <w:jc w:val="left"/>
        <w:rPr>
          <w:rFonts w:asciiTheme="minorEastAsia" w:hAnsiTheme="minorEastAsia" w:eastAsiaTheme="minorEastAsia" w:cstheme="minorEastAsia"/>
          <w:color w:val="000000"/>
          <w:sz w:val="24"/>
        </w:rPr>
      </w:pPr>
    </w:p>
    <w:p>
      <w:pPr>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技术管理部</w:t>
      </w:r>
    </w:p>
    <w:p>
      <w:pPr>
        <w:jc w:val="left"/>
        <w:rPr>
          <w:rFonts w:hint="eastAsia" w:ascii="宋体" w:hAnsi="宋体" w:cs="仿宋_GB2312"/>
          <w:sz w:val="24"/>
        </w:rPr>
      </w:pPr>
      <w:r>
        <w:rPr>
          <w:rFonts w:hint="eastAsia" w:asciiTheme="minorEastAsia" w:hAnsiTheme="minorEastAsia" w:eastAsiaTheme="minorEastAsia" w:cstheme="minorEastAsia"/>
          <w:color w:val="000000"/>
          <w:sz w:val="24"/>
        </w:rPr>
        <w:t xml:space="preserve">                                                 </w:t>
      </w:r>
      <w:r>
        <w:rPr>
          <w:rFonts w:ascii="宋体" w:hAnsi="宋体" w:cs="仿宋_GB2312"/>
          <w:sz w:val="24"/>
        </w:rPr>
        <w:t>202</w:t>
      </w:r>
      <w:r>
        <w:rPr>
          <w:rFonts w:hint="eastAsia" w:ascii="宋体" w:hAnsi="宋体" w:cs="仿宋_GB2312"/>
          <w:sz w:val="24"/>
          <w:lang w:val="en-US" w:eastAsia="zh-CN"/>
        </w:rPr>
        <w:t>3</w:t>
      </w:r>
      <w:r>
        <w:rPr>
          <w:rFonts w:hint="eastAsia" w:ascii="宋体" w:hAnsi="宋体" w:cs="仿宋_GB2312"/>
          <w:sz w:val="24"/>
        </w:rPr>
        <w:t>年</w:t>
      </w:r>
      <w:r>
        <w:rPr>
          <w:rFonts w:hint="eastAsia" w:ascii="宋体" w:hAnsi="宋体" w:cs="仿宋_GB2312"/>
          <w:sz w:val="24"/>
          <w:lang w:val="en-US" w:eastAsia="zh-CN"/>
        </w:rPr>
        <w:t>8</w:t>
      </w:r>
      <w:r>
        <w:rPr>
          <w:rFonts w:hint="eastAsia" w:ascii="宋体" w:hAnsi="宋体" w:cs="仿宋_GB2312"/>
          <w:sz w:val="24"/>
        </w:rPr>
        <w:t>月1日</w:t>
      </w:r>
      <w:bookmarkStart w:id="0" w:name="_GoBack"/>
      <w:bookmarkEnd w:id="0"/>
    </w:p>
    <w:p>
      <w:pPr>
        <w:jc w:val="left"/>
        <w:rPr>
          <w:rFonts w:hint="eastAsia" w:ascii="宋体" w:hAnsi="宋体" w:cs="仿宋_GB2312"/>
          <w:sz w:val="24"/>
        </w:rPr>
      </w:pPr>
    </w:p>
    <w:p>
      <w:pPr>
        <w:jc w:val="left"/>
        <w:rPr>
          <w:rFonts w:hint="eastAsia" w:ascii="宋体" w:hAnsi="宋体" w:cs="仿宋_GB2312"/>
          <w:sz w:val="24"/>
          <w:lang w:eastAsia="zh-CN"/>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U-F1">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6A611"/>
    <w:multiLevelType w:val="singleLevel"/>
    <w:tmpl w:val="5FF6A611"/>
    <w:lvl w:ilvl="0" w:tentative="0">
      <w:start w:val="2"/>
      <w:numFmt w:val="chineseCounting"/>
      <w:suff w:val="nothing"/>
      <w:lvlText w:val="%1."/>
      <w:lvlJc w:val="left"/>
    </w:lvl>
  </w:abstractNum>
  <w:abstractNum w:abstractNumId="1">
    <w:nsid w:val="695EE179"/>
    <w:multiLevelType w:val="singleLevel"/>
    <w:tmpl w:val="695EE179"/>
    <w:lvl w:ilvl="0" w:tentative="0">
      <w:start w:val="2"/>
      <w:numFmt w:val="decimal"/>
      <w:lvlText w:val="%1."/>
      <w:lvlJc w:val="left"/>
      <w:pPr>
        <w:tabs>
          <w:tab w:val="left" w:pos="312"/>
        </w:tabs>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147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MzRjNGIwYTkyOWZlMDNmMzAyOTUzNTNiOTBkN2MifQ=="/>
    <w:docVar w:name="KSO_WPS_MARK_KEY" w:val="e5d6aea5-e29b-4226-a365-81f8b1a3d585"/>
  </w:docVars>
  <w:rsids>
    <w:rsidRoot w:val="00172A27"/>
    <w:rsid w:val="002D70FB"/>
    <w:rsid w:val="00502DC9"/>
    <w:rsid w:val="0068206E"/>
    <w:rsid w:val="00937AD7"/>
    <w:rsid w:val="0094108C"/>
    <w:rsid w:val="00A056C9"/>
    <w:rsid w:val="00C53286"/>
    <w:rsid w:val="00CB0B1A"/>
    <w:rsid w:val="00EF6054"/>
    <w:rsid w:val="029C57FF"/>
    <w:rsid w:val="02ED01E1"/>
    <w:rsid w:val="03490CF7"/>
    <w:rsid w:val="040C7CA3"/>
    <w:rsid w:val="041F70CB"/>
    <w:rsid w:val="042D00C3"/>
    <w:rsid w:val="05475CED"/>
    <w:rsid w:val="05D76C05"/>
    <w:rsid w:val="06666773"/>
    <w:rsid w:val="07AF1BE8"/>
    <w:rsid w:val="081202C7"/>
    <w:rsid w:val="0ADD34E8"/>
    <w:rsid w:val="0AFF0D3B"/>
    <w:rsid w:val="0B10146F"/>
    <w:rsid w:val="0B841EBE"/>
    <w:rsid w:val="0D9F59C2"/>
    <w:rsid w:val="10C70A53"/>
    <w:rsid w:val="10D47CA5"/>
    <w:rsid w:val="10F37D66"/>
    <w:rsid w:val="113822EE"/>
    <w:rsid w:val="132A6C91"/>
    <w:rsid w:val="135D7C6C"/>
    <w:rsid w:val="147D7A78"/>
    <w:rsid w:val="14966963"/>
    <w:rsid w:val="15344DFD"/>
    <w:rsid w:val="15DF7FFA"/>
    <w:rsid w:val="162A72E7"/>
    <w:rsid w:val="178C553A"/>
    <w:rsid w:val="17AB341A"/>
    <w:rsid w:val="17CC67E6"/>
    <w:rsid w:val="1A3878E1"/>
    <w:rsid w:val="1AF05711"/>
    <w:rsid w:val="1B884C8D"/>
    <w:rsid w:val="1BF36DFC"/>
    <w:rsid w:val="1BF965D2"/>
    <w:rsid w:val="1CD00D9F"/>
    <w:rsid w:val="1CF52D92"/>
    <w:rsid w:val="1D186ECF"/>
    <w:rsid w:val="1DF732B8"/>
    <w:rsid w:val="1E7A61E8"/>
    <w:rsid w:val="1F0D246D"/>
    <w:rsid w:val="1F7A7BB9"/>
    <w:rsid w:val="20052A52"/>
    <w:rsid w:val="20404157"/>
    <w:rsid w:val="21A30DF8"/>
    <w:rsid w:val="229C6C77"/>
    <w:rsid w:val="230E292F"/>
    <w:rsid w:val="25B979F7"/>
    <w:rsid w:val="2628108B"/>
    <w:rsid w:val="268273E7"/>
    <w:rsid w:val="27AC4587"/>
    <w:rsid w:val="28447153"/>
    <w:rsid w:val="28907962"/>
    <w:rsid w:val="29EB661D"/>
    <w:rsid w:val="2A6B7798"/>
    <w:rsid w:val="2A917A18"/>
    <w:rsid w:val="2A9D5AE1"/>
    <w:rsid w:val="2AAF11CD"/>
    <w:rsid w:val="2B1A11DC"/>
    <w:rsid w:val="2B35510A"/>
    <w:rsid w:val="2B7D4283"/>
    <w:rsid w:val="2BA657C5"/>
    <w:rsid w:val="2DE669DC"/>
    <w:rsid w:val="2F47752A"/>
    <w:rsid w:val="2FF24A1C"/>
    <w:rsid w:val="3053179E"/>
    <w:rsid w:val="311B56E6"/>
    <w:rsid w:val="31647344"/>
    <w:rsid w:val="321B3587"/>
    <w:rsid w:val="323F1AC8"/>
    <w:rsid w:val="32AD35FE"/>
    <w:rsid w:val="340E4E6D"/>
    <w:rsid w:val="34FC6A6B"/>
    <w:rsid w:val="35590840"/>
    <w:rsid w:val="35686F18"/>
    <w:rsid w:val="360D30A4"/>
    <w:rsid w:val="36FC58BF"/>
    <w:rsid w:val="37F54B45"/>
    <w:rsid w:val="38114C61"/>
    <w:rsid w:val="38C12CB4"/>
    <w:rsid w:val="39572A1A"/>
    <w:rsid w:val="3AAE7133"/>
    <w:rsid w:val="3B7C206D"/>
    <w:rsid w:val="3BA86199"/>
    <w:rsid w:val="3BF41102"/>
    <w:rsid w:val="3C1719A7"/>
    <w:rsid w:val="3F471133"/>
    <w:rsid w:val="3FEF06B0"/>
    <w:rsid w:val="404D65EE"/>
    <w:rsid w:val="411962C3"/>
    <w:rsid w:val="413F2F03"/>
    <w:rsid w:val="41757C28"/>
    <w:rsid w:val="41E64296"/>
    <w:rsid w:val="42602966"/>
    <w:rsid w:val="42B4132B"/>
    <w:rsid w:val="42E87E8F"/>
    <w:rsid w:val="435C3FFF"/>
    <w:rsid w:val="43A1661B"/>
    <w:rsid w:val="43BC4F04"/>
    <w:rsid w:val="456A6B72"/>
    <w:rsid w:val="45B44C78"/>
    <w:rsid w:val="4617120F"/>
    <w:rsid w:val="46391583"/>
    <w:rsid w:val="47592F34"/>
    <w:rsid w:val="47FE407E"/>
    <w:rsid w:val="489B5295"/>
    <w:rsid w:val="495A02AF"/>
    <w:rsid w:val="4A746031"/>
    <w:rsid w:val="4CBA444F"/>
    <w:rsid w:val="4D726118"/>
    <w:rsid w:val="4E0453E4"/>
    <w:rsid w:val="50A13664"/>
    <w:rsid w:val="50FD0233"/>
    <w:rsid w:val="51661A7D"/>
    <w:rsid w:val="51E00561"/>
    <w:rsid w:val="53450627"/>
    <w:rsid w:val="5461149F"/>
    <w:rsid w:val="554618F6"/>
    <w:rsid w:val="56BF4C86"/>
    <w:rsid w:val="57F70DFF"/>
    <w:rsid w:val="58993B1A"/>
    <w:rsid w:val="5969186D"/>
    <w:rsid w:val="59D05796"/>
    <w:rsid w:val="5A0945B7"/>
    <w:rsid w:val="5B6B5DA5"/>
    <w:rsid w:val="5C03403B"/>
    <w:rsid w:val="5CEE7C31"/>
    <w:rsid w:val="5D470FAB"/>
    <w:rsid w:val="60BB0A35"/>
    <w:rsid w:val="61074AF0"/>
    <w:rsid w:val="615B02C6"/>
    <w:rsid w:val="61730DB9"/>
    <w:rsid w:val="617E7590"/>
    <w:rsid w:val="61EE1106"/>
    <w:rsid w:val="62674F99"/>
    <w:rsid w:val="62A0005F"/>
    <w:rsid w:val="63ED4B27"/>
    <w:rsid w:val="645F2357"/>
    <w:rsid w:val="64F8477D"/>
    <w:rsid w:val="65014476"/>
    <w:rsid w:val="65D83093"/>
    <w:rsid w:val="661D5FA4"/>
    <w:rsid w:val="66F82907"/>
    <w:rsid w:val="67082E56"/>
    <w:rsid w:val="67E84DD0"/>
    <w:rsid w:val="698B2D92"/>
    <w:rsid w:val="698D7BFE"/>
    <w:rsid w:val="6A4E5643"/>
    <w:rsid w:val="6ADA4081"/>
    <w:rsid w:val="6B5169F8"/>
    <w:rsid w:val="6B5C5CEE"/>
    <w:rsid w:val="6B936CF1"/>
    <w:rsid w:val="6BDB5069"/>
    <w:rsid w:val="6BFD57B7"/>
    <w:rsid w:val="6C060AF4"/>
    <w:rsid w:val="6C1919A4"/>
    <w:rsid w:val="6CA00FD6"/>
    <w:rsid w:val="6D140A3C"/>
    <w:rsid w:val="6D7A432B"/>
    <w:rsid w:val="6DE972E3"/>
    <w:rsid w:val="6FA85423"/>
    <w:rsid w:val="707D2817"/>
    <w:rsid w:val="7217506B"/>
    <w:rsid w:val="742679DF"/>
    <w:rsid w:val="74F715C8"/>
    <w:rsid w:val="757F5473"/>
    <w:rsid w:val="75C313A2"/>
    <w:rsid w:val="787768D5"/>
    <w:rsid w:val="79080E04"/>
    <w:rsid w:val="7A0450B9"/>
    <w:rsid w:val="7A866222"/>
    <w:rsid w:val="7AD6318A"/>
    <w:rsid w:val="7AF10BC1"/>
    <w:rsid w:val="7AFA4A88"/>
    <w:rsid w:val="7B986B73"/>
    <w:rsid w:val="7CC1457E"/>
    <w:rsid w:val="7CC62243"/>
    <w:rsid w:val="7D670DDF"/>
    <w:rsid w:val="7D8738A4"/>
    <w:rsid w:val="7E575843"/>
    <w:rsid w:val="7F1E7754"/>
    <w:rsid w:val="7F9F64F0"/>
    <w:rsid w:val="F97AACC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unhideWhenUsed/>
    <w:qFormat/>
    <w:uiPriority w:val="99"/>
    <w:pPr>
      <w:widowControl/>
      <w:spacing w:before="180" w:after="180"/>
      <w:jc w:val="left"/>
    </w:pPr>
    <w:rPr>
      <w:kern w:val="0"/>
      <w:sz w:val="24"/>
      <w:lang w:eastAsia="en-US"/>
    </w:rPr>
  </w:style>
  <w:style w:type="paragraph" w:styleId="6">
    <w:name w:val="Plain Text"/>
    <w:basedOn w:val="1"/>
    <w:unhideWhenUsed/>
    <w:qFormat/>
    <w:uiPriority w:val="99"/>
    <w:rPr>
      <w:rFonts w:ascii="宋体" w:hAnsi="Courier New" w:cs="Courier New"/>
      <w:szCs w:val="21"/>
    </w:rPr>
  </w:style>
  <w:style w:type="paragraph" w:styleId="7">
    <w:name w:val="Balloon Text"/>
    <w:basedOn w:val="1"/>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unhideWhenUsed/>
    <w:qFormat/>
    <w:uiPriority w:val="99"/>
    <w:rPr>
      <w:sz w:val="2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bCs/>
    </w:rPr>
  </w:style>
  <w:style w:type="paragraph" w:customStyle="1" w:styleId="16">
    <w:name w:val="Char"/>
    <w:basedOn w:val="1"/>
    <w:semiHidden/>
    <w:qFormat/>
    <w:uiPriority w:val="0"/>
    <w:pPr>
      <w:spacing w:line="360" w:lineRule="auto"/>
      <w:ind w:firstLine="200" w:firstLineChars="200"/>
    </w:pPr>
    <w:rPr>
      <w:rFonts w:ascii="宋体" w:hAnsi="宋体" w:cs="宋体"/>
      <w:sz w:val="24"/>
    </w:rPr>
  </w:style>
  <w:style w:type="paragraph" w:customStyle="1" w:styleId="17">
    <w:name w:val="表头"/>
    <w:basedOn w:val="1"/>
    <w:qFormat/>
    <w:uiPriority w:val="0"/>
    <w:pPr>
      <w:spacing w:before="160" w:after="60" w:line="312" w:lineRule="exact"/>
      <w:jc w:val="center"/>
    </w:pPr>
    <w:rPr>
      <w:rFonts w:ascii="EU-F1" w:eastAsia="黑体"/>
      <w:szCs w:val="21"/>
    </w:rPr>
  </w:style>
  <w:style w:type="paragraph" w:customStyle="1" w:styleId="18">
    <w:name w:val="章标题"/>
    <w:next w:val="19"/>
    <w:qFormat/>
    <w:uiPriority w:val="0"/>
    <w:pPr>
      <w:numPr>
        <w:ilvl w:val="1"/>
        <w:numId w:val="1"/>
      </w:numPr>
      <w:spacing w:before="50" w:beforeLines="50" w:after="50" w:afterLines="50"/>
      <w:jc w:val="both"/>
      <w:outlineLvl w:val="1"/>
    </w:pPr>
    <w:rPr>
      <w:rFonts w:ascii="黑体" w:hAnsi="Times New Roman" w:eastAsia="黑体" w:cs="Times New Roman"/>
      <w:sz w:val="21"/>
      <w:szCs w:val="22"/>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样式2"/>
    <w:basedOn w:val="1"/>
    <w:qFormat/>
    <w:uiPriority w:val="0"/>
    <w:pPr>
      <w:widowControl/>
      <w:spacing w:line="312" w:lineRule="exact"/>
    </w:pPr>
    <w:rPr>
      <w:rFonts w:ascii="EU-F1" w:eastAsia="黑体"/>
      <w:color w:val="000000"/>
      <w:kern w:val="44"/>
      <w:szCs w:val="21"/>
    </w:rPr>
  </w:style>
  <w:style w:type="paragraph" w:customStyle="1" w:styleId="21">
    <w:name w:val="样式 3"/>
    <w:basedOn w:val="1"/>
    <w:semiHidden/>
    <w:qFormat/>
    <w:uiPriority w:val="0"/>
    <w:pPr>
      <w:topLinePunct/>
      <w:ind w:left="840" w:hanging="420"/>
    </w:pPr>
    <w:rPr>
      <w:kern w:val="21"/>
      <w:szCs w:val="21"/>
    </w:rPr>
  </w:style>
  <w:style w:type="paragraph" w:customStyle="1" w:styleId="22">
    <w:name w:val="BodyText"/>
    <w:basedOn w:val="1"/>
    <w:qFormat/>
    <w:uiPriority w:val="0"/>
    <w:pPr>
      <w:widowControl/>
      <w:spacing w:before="180" w:after="180"/>
      <w:jc w:val="left"/>
      <w:textAlignment w:val="baseline"/>
    </w:pPr>
    <w:rPr>
      <w:kern w:val="0"/>
      <w:sz w:val="24"/>
      <w:lang w:eastAsia="en-US"/>
    </w:rPr>
  </w:style>
  <w:style w:type="character" w:customStyle="1" w:styleId="23">
    <w:name w:val="NormalCharacter"/>
    <w:qFormat/>
    <w:uiPriority w:val="0"/>
    <w:rPr>
      <w:rFonts w:ascii="Calibri" w:hAnsi="Calibri" w:eastAsia="宋体" w:cs="Times New Roman"/>
      <w:kern w:val="2"/>
      <w:sz w:val="21"/>
      <w:szCs w:val="24"/>
      <w:lang w:val="en-US" w:eastAsia="zh-CN" w:bidi="ar-SA"/>
    </w:rPr>
  </w:style>
  <w:style w:type="paragraph" w:customStyle="1" w:styleId="2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1660</Words>
  <Characters>1920</Characters>
  <Lines>16</Lines>
  <Paragraphs>4</Paragraphs>
  <TotalTime>5</TotalTime>
  <ScaleCrop>false</ScaleCrop>
  <LinksUpToDate>false</LinksUpToDate>
  <CharactersWithSpaces>2158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2017-07-18T08:20:00Z</dcterms:created>
  <dc:creator>Administrator</dc:creator>
  <cp:lastModifiedBy>Apple</cp:lastModifiedBy>
  <dcterms:modified xsi:type="dcterms:W3CDTF">2023-08-01T08:07:38Z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0DF5A569D64E406CA2A1D16DE79A7D2B</vt:lpwstr>
  </property>
</Properties>
</file>