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商品混凝土技术要求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一、遵循标准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GB/T14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02-2012《预拌混凝土》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GB/T14684-20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《建设用砂》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GB/T14685-20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《建设用卵石、碎石》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JGJ52-2006《普通混凝土用砂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石</w:t>
      </w:r>
      <w:r>
        <w:rPr>
          <w:rFonts w:hint="eastAsia"/>
          <w:sz w:val="24"/>
          <w:szCs w:val="24"/>
        </w:rPr>
        <w:t>质量及检验方法</w:t>
      </w:r>
      <w:r>
        <w:rPr>
          <w:rFonts w:hint="eastAsia"/>
          <w:sz w:val="24"/>
          <w:szCs w:val="24"/>
          <w:lang w:val="en-US" w:eastAsia="zh-CN"/>
        </w:rPr>
        <w:t>标准</w:t>
      </w:r>
      <w:r>
        <w:rPr>
          <w:rFonts w:hint="eastAsia"/>
          <w:sz w:val="24"/>
          <w:szCs w:val="2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JGJ63-2006《混凝土用水标准》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GB8076-2008《混凝土外加剂》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JC/T475-2004《混凝土防冻剂》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GB/T 23439-2017/XG1-2018《混凝土膨胀剂》国家标准第1号修改单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JC/T474-2008《砂浆、混凝土防水剂》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GB50119-2013《混凝土外加剂应用技术规</w:t>
      </w:r>
      <w:r>
        <w:rPr>
          <w:rFonts w:hint="eastAsia"/>
          <w:sz w:val="24"/>
          <w:szCs w:val="24"/>
          <w:lang w:val="en-US" w:eastAsia="zh-CN"/>
        </w:rPr>
        <w:t>范</w:t>
      </w:r>
      <w:r>
        <w:rPr>
          <w:rFonts w:hint="eastAsia"/>
          <w:sz w:val="24"/>
          <w:szCs w:val="2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GB/T1596-2017《用于水泥和混凝土中的粉煤灰》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GB50164-2011《混凝土质量控制标准》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GB/T50107-2010《混凝土强度检验评定标准》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GB/T50080-2016《普通混凝土拌合物性能试验方法标准》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GB/T50081-20</w:t>
      </w: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《混凝土物理力学性能试验方法标准》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GB50204-2015《混凝土结构工程施工质量验收规范》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JGJ/T10-2011《混凝土泵送施工技术规程》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JGJ/T104-2011《建筑工程冬期施工规程》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JGJ/T178-2009《补偿收缩混凝土应用技术规程》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GB50325-20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0《民用建筑工程室内环境污染控制</w:t>
      </w:r>
      <w:r>
        <w:rPr>
          <w:rFonts w:hint="eastAsia"/>
          <w:sz w:val="24"/>
          <w:szCs w:val="24"/>
          <w:lang w:val="en-US" w:eastAsia="zh-CN"/>
        </w:rPr>
        <w:t>标准</w:t>
      </w:r>
      <w:r>
        <w:rPr>
          <w:rFonts w:hint="eastAsia"/>
          <w:sz w:val="24"/>
          <w:szCs w:val="2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GB175-2007/XG3-2018《通</w:t>
      </w:r>
      <w:r>
        <w:rPr>
          <w:rFonts w:hint="eastAsia"/>
          <w:sz w:val="24"/>
          <w:szCs w:val="24"/>
          <w:lang w:val="en-US" w:eastAsia="zh-CN"/>
        </w:rPr>
        <w:t>用</w:t>
      </w:r>
      <w:r>
        <w:rPr>
          <w:rFonts w:hint="eastAsia"/>
          <w:sz w:val="24"/>
          <w:szCs w:val="24"/>
        </w:rPr>
        <w:t>硅酸盐水泥》国家标准第3号修改单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GB/T50146-2014《粉煤灰混凝土应用技术规范》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JGJ55-2011《普通混凝土配合比设计规程》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GB18588-2001《混凝</w:t>
      </w:r>
      <w:bookmarkStart w:id="0" w:name="_GoBack"/>
      <w:bookmarkEnd w:id="0"/>
      <w:r>
        <w:rPr>
          <w:rFonts w:hint="eastAsia"/>
          <w:sz w:val="24"/>
          <w:szCs w:val="24"/>
        </w:rPr>
        <w:t>土外加剂中释放氨的限量》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上述有关规范、标准如有变化，按最新或最高标准执行。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本次商品混凝土技术要求遵循的标准包括但不限于上述规范和标准。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（一）</w:t>
      </w:r>
      <w:r>
        <w:rPr>
          <w:rFonts w:hint="eastAsia"/>
          <w:sz w:val="24"/>
          <w:szCs w:val="24"/>
          <w:lang w:val="en-US" w:eastAsia="zh-CN"/>
        </w:rPr>
        <w:t>原材料和配合比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混凝土拌合物</w:t>
      </w:r>
      <w:r>
        <w:rPr>
          <w:rFonts w:hint="eastAsia"/>
          <w:sz w:val="24"/>
          <w:szCs w:val="24"/>
          <w:lang w:eastAsia="zh-CN"/>
        </w:rPr>
        <w:t>采用</w:t>
      </w:r>
      <w:r>
        <w:rPr>
          <w:rFonts w:hint="eastAsia"/>
          <w:sz w:val="24"/>
          <w:szCs w:val="24"/>
        </w:rPr>
        <w:t>原材料</w:t>
      </w:r>
      <w:r>
        <w:rPr>
          <w:rFonts w:hint="eastAsia"/>
          <w:sz w:val="24"/>
          <w:szCs w:val="24"/>
          <w:lang w:eastAsia="zh-CN"/>
        </w:rPr>
        <w:t>应按严格设计要求执行，原材料</w:t>
      </w:r>
      <w:r>
        <w:rPr>
          <w:rFonts w:hint="eastAsia"/>
          <w:sz w:val="24"/>
          <w:szCs w:val="24"/>
        </w:rPr>
        <w:t>（水泥、砂石</w:t>
      </w:r>
      <w:r>
        <w:rPr>
          <w:rFonts w:hint="eastAsia"/>
          <w:sz w:val="24"/>
          <w:szCs w:val="24"/>
          <w:lang w:eastAsia="zh-CN"/>
        </w:rPr>
        <w:t>骨料</w:t>
      </w:r>
      <w:r>
        <w:rPr>
          <w:rFonts w:hint="eastAsia"/>
          <w:sz w:val="24"/>
          <w:szCs w:val="24"/>
        </w:rPr>
        <w:t>、水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、外加剂、掺合料的质量，必须符合</w:t>
      </w:r>
      <w:r>
        <w:rPr>
          <w:rFonts w:hint="eastAsia"/>
          <w:sz w:val="24"/>
          <w:szCs w:val="24"/>
          <w:lang w:eastAsia="zh-CN"/>
        </w:rPr>
        <w:t>国家相关</w:t>
      </w:r>
      <w:r>
        <w:rPr>
          <w:rFonts w:hint="eastAsia"/>
          <w:sz w:val="24"/>
          <w:szCs w:val="24"/>
        </w:rPr>
        <w:t>规范、规程、标准，并按有关规定具有产品出厂</w:t>
      </w:r>
      <w:r>
        <w:rPr>
          <w:rFonts w:hint="eastAsia"/>
          <w:sz w:val="24"/>
          <w:szCs w:val="24"/>
          <w:lang w:eastAsia="zh-CN"/>
        </w:rPr>
        <w:t>检验报告等质量证明文件</w:t>
      </w:r>
      <w:r>
        <w:rPr>
          <w:rFonts w:hint="eastAsia"/>
          <w:sz w:val="24"/>
          <w:szCs w:val="24"/>
        </w:rPr>
        <w:t>和进场复验报告。</w:t>
      </w:r>
      <w:r>
        <w:rPr>
          <w:rFonts w:hint="eastAsia"/>
          <w:sz w:val="24"/>
          <w:szCs w:val="24"/>
          <w:lang w:val="en-US" w:eastAsia="zh-CN"/>
        </w:rPr>
        <w:t>水泥应符合 GB175、GB200</w:t>
      </w:r>
      <w:r>
        <w:rPr>
          <w:rFonts w:hint="default"/>
          <w:sz w:val="24"/>
          <w:szCs w:val="24"/>
          <w:lang w:val="en-US" w:eastAsia="zh-CN"/>
        </w:rPr>
        <w:t>和 GB13693等的规定。</w:t>
      </w:r>
      <w:r>
        <w:rPr>
          <w:rFonts w:hint="eastAsia"/>
          <w:sz w:val="24"/>
          <w:szCs w:val="24"/>
          <w:lang w:val="en-US" w:eastAsia="zh-CN"/>
        </w:rPr>
        <w:t>普通混凝土用骨料应符合JGJ52</w:t>
      </w:r>
      <w:r>
        <w:rPr>
          <w:rFonts w:hint="default"/>
          <w:sz w:val="24"/>
          <w:szCs w:val="24"/>
          <w:lang w:val="en-US" w:eastAsia="zh-CN"/>
        </w:rPr>
        <w:t>的规定,海砂应符合JGJ206的规定,再生粗骨料和再生细骨料应分别符合 GB/T25177和 GB/T25176的规定,轻骨料应符合 GB/T17431.1的规定,重晶石骨料 应符合 GB/T50557的规定</w:t>
      </w:r>
      <w:r>
        <w:rPr>
          <w:rFonts w:hint="eastAsia"/>
          <w:sz w:val="24"/>
          <w:szCs w:val="24"/>
          <w:lang w:val="en-US" w:eastAsia="zh-CN"/>
        </w:rPr>
        <w:t>。混凝土拌合用水应符合JGJ63</w:t>
      </w:r>
      <w:r>
        <w:rPr>
          <w:rFonts w:hint="default"/>
          <w:sz w:val="24"/>
          <w:szCs w:val="24"/>
          <w:lang w:val="en-US" w:eastAsia="zh-CN"/>
        </w:rPr>
        <w:t>的规定。</w:t>
      </w:r>
      <w:r>
        <w:rPr>
          <w:rFonts w:hint="eastAsia"/>
          <w:sz w:val="24"/>
          <w:szCs w:val="24"/>
          <w:lang w:val="en-US" w:eastAsia="zh-CN"/>
        </w:rPr>
        <w:t>外加剂应符合 GB8076、GB23439、GB50119</w:t>
      </w:r>
      <w:r>
        <w:rPr>
          <w:rFonts w:hint="default"/>
          <w:sz w:val="24"/>
          <w:szCs w:val="24"/>
          <w:lang w:val="en-US" w:eastAsia="zh-CN"/>
        </w:rPr>
        <w:t>和JC475的规定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2、</w:t>
      </w:r>
      <w:r>
        <w:rPr>
          <w:rFonts w:hint="default"/>
          <w:sz w:val="24"/>
          <w:szCs w:val="24"/>
          <w:lang w:val="en-US" w:eastAsia="zh-CN"/>
        </w:rPr>
        <w:t>不应采用结块的水泥;水泥用于生产时的温度不宜高于60 ℃;水泥出厂超过3个月应进行复检,合格者方可使用。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3、粉状外加剂应防止受潮结块,</w:t>
      </w:r>
      <w:r>
        <w:rPr>
          <w:rFonts w:hint="default"/>
          <w:sz w:val="24"/>
          <w:szCs w:val="24"/>
          <w:lang w:val="en-US" w:eastAsia="zh-CN"/>
        </w:rPr>
        <w:t>如有结块,应进行检验,合格者应经粉碎至全部通过300μm 方孔筛筛孔后方可使用;液态外加剂应贮存在密闭容器内,并应防晒和防冻。如有沉淀等异常现象,应经检验合格后方可使用。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4、普通混凝土配合比设计应由供货方按JGJ55</w:t>
      </w:r>
      <w:r>
        <w:rPr>
          <w:rFonts w:hint="default"/>
          <w:sz w:val="24"/>
          <w:szCs w:val="24"/>
          <w:lang w:val="en-US" w:eastAsia="zh-CN"/>
        </w:rPr>
        <w:t>的规定执行;轻骨料混凝土配合比设计应由供货方按JGJ51的规定执行;纤维混凝土配合比设计应由供货方按JGJ/T221的规定执行;重晶石混凝土配合比设计应由供货方按 GB/T50557的规定执行。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（二）商品混凝土质量要求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1、混凝土强度应满足设计要求,</w:t>
      </w:r>
      <w:r>
        <w:rPr>
          <w:rFonts w:hint="default"/>
          <w:sz w:val="24"/>
          <w:szCs w:val="24"/>
          <w:lang w:val="en-US" w:eastAsia="zh-CN"/>
        </w:rPr>
        <w:t xml:space="preserve">检验评定应符合 GB/T50107的规定。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2、混凝土坍落度实测值与控制目标值的允许偏差应符合GB/</w:t>
      </w:r>
      <w:r>
        <w:rPr>
          <w:rFonts w:hint="default"/>
          <w:sz w:val="24"/>
          <w:szCs w:val="24"/>
          <w:lang w:val="en-US" w:eastAsia="zh-CN"/>
        </w:rPr>
        <w:t>T14902</w:t>
      </w:r>
      <w:r>
        <w:rPr>
          <w:rFonts w:hint="eastAsia"/>
          <w:sz w:val="24"/>
          <w:szCs w:val="24"/>
          <w:lang w:val="en-US" w:eastAsia="zh-CN"/>
        </w:rPr>
        <w:t>表8</w:t>
      </w:r>
      <w:r>
        <w:rPr>
          <w:rFonts w:hint="default"/>
          <w:sz w:val="24"/>
          <w:szCs w:val="24"/>
          <w:lang w:val="en-US" w:eastAsia="zh-CN"/>
        </w:rPr>
        <w:t>的规定。常规品的泵送混凝土坍落度控制目标值不宜大于180mm,并应满足施工要求,坍落度经时损失不宜大于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default"/>
          <w:sz w:val="24"/>
          <w:szCs w:val="24"/>
          <w:lang w:val="en-US" w:eastAsia="zh-CN"/>
        </w:rPr>
        <w:t>0mm/h;特制品混凝土坍落度应满足相关标准规定和施工要求。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3、扩展度实测值与控制目标值的允许偏差宜符合GB/</w:t>
      </w:r>
      <w:r>
        <w:rPr>
          <w:rFonts w:hint="default"/>
          <w:sz w:val="24"/>
          <w:szCs w:val="24"/>
          <w:lang w:val="en-US" w:eastAsia="zh-CN"/>
        </w:rPr>
        <w:t>T14902</w:t>
      </w:r>
      <w:r>
        <w:rPr>
          <w:rFonts w:hint="eastAsia"/>
          <w:sz w:val="24"/>
          <w:szCs w:val="24"/>
          <w:lang w:val="en-US" w:eastAsia="zh-CN"/>
        </w:rPr>
        <w:t>表8</w:t>
      </w:r>
      <w:r>
        <w:rPr>
          <w:rFonts w:hint="default"/>
          <w:sz w:val="24"/>
          <w:szCs w:val="24"/>
          <w:lang w:val="en-US" w:eastAsia="zh-CN"/>
        </w:rPr>
        <w:t xml:space="preserve">的规定。自密实混凝土扩展度控制目标值不宜小于550mm,并应满足施工要求。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4、混凝土含气量实测值不宜大于7%,</w:t>
      </w:r>
      <w:r>
        <w:rPr>
          <w:rFonts w:hint="default"/>
          <w:sz w:val="24"/>
          <w:szCs w:val="24"/>
          <w:lang w:val="en-US" w:eastAsia="zh-CN"/>
        </w:rPr>
        <w:t>并与合同规定值的允许偏差不宜超过±1.0%。</w:t>
      </w:r>
      <w:r>
        <w:rPr>
          <w:rFonts w:hint="eastAsia"/>
          <w:sz w:val="24"/>
          <w:szCs w:val="24"/>
          <w:lang w:val="en-US" w:eastAsia="zh-CN"/>
        </w:rPr>
        <w:t>混凝土拌合物中水溶性氯离子最大含量实测值应符合GB/</w:t>
      </w:r>
      <w:r>
        <w:rPr>
          <w:rFonts w:hint="default"/>
          <w:sz w:val="24"/>
          <w:szCs w:val="24"/>
          <w:lang w:val="en-US" w:eastAsia="zh-CN"/>
        </w:rPr>
        <w:t>T14902</w:t>
      </w:r>
      <w:r>
        <w:rPr>
          <w:rFonts w:hint="eastAsia"/>
          <w:sz w:val="24"/>
          <w:szCs w:val="24"/>
          <w:lang w:val="en-US" w:eastAsia="zh-CN"/>
        </w:rPr>
        <w:t>表9</w:t>
      </w:r>
      <w:r>
        <w:rPr>
          <w:rFonts w:hint="default"/>
          <w:sz w:val="24"/>
          <w:szCs w:val="24"/>
          <w:lang w:val="en-US" w:eastAsia="zh-CN"/>
        </w:rPr>
        <w:t>的规定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(三）商品混凝土的搅拌和运输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1、搅拌机型式应为强制式,</w:t>
      </w:r>
      <w:r>
        <w:rPr>
          <w:rFonts w:hint="default"/>
          <w:sz w:val="24"/>
          <w:szCs w:val="24"/>
          <w:lang w:val="en-US" w:eastAsia="zh-CN"/>
        </w:rPr>
        <w:t>并应符合 GB10171的规定。</w:t>
      </w:r>
      <w:r>
        <w:rPr>
          <w:rFonts w:hint="eastAsia"/>
          <w:sz w:val="24"/>
          <w:szCs w:val="24"/>
          <w:lang w:val="en-US" w:eastAsia="zh-CN"/>
        </w:rPr>
        <w:t>搅拌应保证预拌混凝土拌合物质量均匀;</w:t>
      </w:r>
      <w:r>
        <w:rPr>
          <w:rFonts w:hint="default"/>
          <w:sz w:val="24"/>
          <w:szCs w:val="24"/>
          <w:lang w:val="en-US" w:eastAsia="zh-CN"/>
        </w:rPr>
        <w:t>同一盘混凝土的搅拌匀质性应符合 GB50164的规定。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2、预拌混凝土搅拌时间应符合下列规定:</w:t>
      </w:r>
      <w:r>
        <w:rPr>
          <w:rFonts w:hint="default"/>
          <w:sz w:val="24"/>
          <w:szCs w:val="24"/>
          <w:lang w:val="en-US" w:eastAsia="zh-CN"/>
        </w:rPr>
        <w:t xml:space="preserve">对于采用搅拌运输车运送混凝土的情况,混凝土在搅拌机中的搅拌时间应满足设备说明书的要求,并且不应少于30s(从全部材料投完算起); 在制备特制品或掺用引气剂、膨胀剂和粉状外加剂的混凝土时,应适当延长搅拌时间。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3、混凝土搅拌运输车应符合JG/T5094</w:t>
      </w:r>
      <w:r>
        <w:rPr>
          <w:rFonts w:hint="default"/>
          <w:sz w:val="24"/>
          <w:szCs w:val="24"/>
          <w:lang w:val="en-US" w:eastAsia="zh-CN"/>
        </w:rPr>
        <w:t>的规定</w:t>
      </w:r>
      <w:r>
        <w:rPr>
          <w:rFonts w:hint="eastAsia"/>
          <w:sz w:val="24"/>
          <w:szCs w:val="24"/>
          <w:lang w:val="en-US" w:eastAsia="zh-CN"/>
        </w:rPr>
        <w:t>。运输车在运输时应能保证混凝土拌合物均匀并不产生分层</w:t>
      </w:r>
      <w:r>
        <w:rPr>
          <w:rFonts w:hint="default"/>
          <w:sz w:val="24"/>
          <w:szCs w:val="24"/>
          <w:lang w:val="en-US" w:eastAsia="zh-CN"/>
        </w:rPr>
        <w:t xml:space="preserve">、离析。对于寒冷、严寒或炎热的天气情况,搅拌运输车的搅拌罐应有保温或隔热措施。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4、搅拌运输车在装料前应将搅拌罐内积水排尽,</w:t>
      </w:r>
      <w:r>
        <w:rPr>
          <w:rFonts w:hint="default"/>
          <w:sz w:val="24"/>
          <w:szCs w:val="24"/>
          <w:lang w:val="en-US" w:eastAsia="zh-CN"/>
        </w:rPr>
        <w:t>装料后严禁向搅拌罐内的混凝土拌合物中加水。当卸料前需要在混凝土拌合物中掺入外加剂时,应在外加剂掺入后采用快档旋转搅拌罐进行搅拌;外加剂掺量和搅拌时间应有经试验确定的预案。预拌混凝土从搅拌机卸入搅拌运输车至卸料时的运输时间不宜大于90min,如需延长运送时间,则应采取相应的有效技术措施,并应通过试验验证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混凝土搅拌站应考虑混凝土运输的时间控制，确保施工现场混凝土连续浇筑。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6、卸料前,</w:t>
      </w:r>
      <w:r>
        <w:rPr>
          <w:rFonts w:hint="default"/>
          <w:sz w:val="24"/>
          <w:szCs w:val="24"/>
          <w:lang w:val="en-US" w:eastAsia="zh-CN"/>
        </w:rPr>
        <w:t>应中、高速旋转搅拌筒,使混凝土拌合均匀。卸料过程中,应保持混凝土量在集料斗内高度标志线以上,并配合泵送均匀卸料。中断卸料作业时,应使搅拌筒保持低转速运转。 卸料应按照卸料平台限制重量严格要求,不应超重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（四）成品的检验和交货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1、商品混凝土质量检验分为出厂检验和交货检验。出厂检验的取样和试验工作应由供方承担;</w:t>
      </w:r>
      <w:r>
        <w:rPr>
          <w:rFonts w:hint="default"/>
          <w:sz w:val="24"/>
          <w:szCs w:val="24"/>
          <w:lang w:val="en-US" w:eastAsia="zh-CN"/>
        </w:rPr>
        <w:t xml:space="preserve">交货检验的取样和试验工作应由需方承担,当需方不具备试验和人员的技术资质时,供需双方可协商确定并委托有检验资质的单位承担,并应在合同中予以明确。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2、交货检验的试验结果应在试验结束后10d</w:t>
      </w:r>
      <w:r>
        <w:rPr>
          <w:rFonts w:hint="default"/>
          <w:sz w:val="24"/>
          <w:szCs w:val="24"/>
          <w:lang w:val="en-US" w:eastAsia="zh-CN"/>
        </w:rPr>
        <w:t>内通知供方</w:t>
      </w:r>
      <w:r>
        <w:rPr>
          <w:rFonts w:hint="eastAsia"/>
          <w:sz w:val="24"/>
          <w:szCs w:val="24"/>
          <w:lang w:val="en-US" w:eastAsia="zh-CN"/>
        </w:rPr>
        <w:t>，商品</w:t>
      </w:r>
      <w:r>
        <w:rPr>
          <w:rFonts w:hint="default"/>
          <w:sz w:val="24"/>
          <w:szCs w:val="24"/>
          <w:lang w:val="en-US" w:eastAsia="zh-CN"/>
        </w:rPr>
        <w:t xml:space="preserve">混凝土质量验收应以交货检验结果作为依据。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3、常规品应检验混凝土强度、</w:t>
      </w:r>
      <w:r>
        <w:rPr>
          <w:rFonts w:hint="default"/>
          <w:sz w:val="24"/>
          <w:szCs w:val="24"/>
          <w:lang w:val="en-US" w:eastAsia="zh-CN"/>
        </w:rPr>
        <w:t>拌合物坍落度和设计要求的耐久性能;掺有引气型外加剂的混凝土还应检验拌合物的含气量。特制品除应检验</w:t>
      </w:r>
      <w:r>
        <w:rPr>
          <w:rFonts w:hint="eastAsia"/>
          <w:sz w:val="24"/>
          <w:szCs w:val="24"/>
          <w:lang w:val="en-US" w:eastAsia="zh-CN"/>
        </w:rPr>
        <w:t>上述</w:t>
      </w:r>
      <w:r>
        <w:rPr>
          <w:rFonts w:hint="default"/>
          <w:sz w:val="24"/>
          <w:szCs w:val="24"/>
          <w:lang w:val="en-US" w:eastAsia="zh-CN"/>
        </w:rPr>
        <w:t>所列项目外,还应按相关标准和合同规定检验其他项目。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4、商品混凝土的取样和检验频次以及结果评定按GB/</w:t>
      </w:r>
      <w:r>
        <w:rPr>
          <w:rFonts w:hint="default"/>
          <w:sz w:val="24"/>
          <w:szCs w:val="24"/>
          <w:lang w:val="en-US" w:eastAsia="zh-CN"/>
        </w:rPr>
        <w:t>T14902</w:t>
      </w:r>
      <w:r>
        <w:rPr>
          <w:rFonts w:hint="eastAsia"/>
          <w:sz w:val="24"/>
          <w:szCs w:val="24"/>
          <w:lang w:val="en-US" w:eastAsia="zh-CN"/>
        </w:rPr>
        <w:t>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5、预拌混凝土供货量应以运输车的发货总量计算。</w:t>
      </w:r>
      <w:r>
        <w:rPr>
          <w:rFonts w:hint="default"/>
          <w:sz w:val="24"/>
          <w:szCs w:val="24"/>
          <w:lang w:val="en-US" w:eastAsia="zh-CN"/>
        </w:rPr>
        <w:t>如需要以工程实际量(不扣除混凝土结构中的钢筋所占体积)进行复核时,其误差应不超过±2%</w:t>
      </w:r>
      <w:r>
        <w:rPr>
          <w:rFonts w:hint="eastAsia"/>
          <w:sz w:val="24"/>
          <w:szCs w:val="24"/>
          <w:lang w:val="en-US" w:eastAsia="zh-CN"/>
        </w:rPr>
        <w:t>。供方应按分部工程向需方提供同一配合比混凝土的出厂合格证。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6、交货时,</w:t>
      </w:r>
      <w:r>
        <w:rPr>
          <w:rFonts w:hint="default"/>
          <w:sz w:val="24"/>
          <w:szCs w:val="24"/>
          <w:lang w:val="en-US" w:eastAsia="zh-CN"/>
        </w:rPr>
        <w:t>需方应指定专人及时对供方所供预拌混凝土的质量、数量进行确认。供方应随每一辆运输车向需方提供该车混凝土的发货单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三、</w:t>
      </w:r>
      <w:r>
        <w:rPr>
          <w:rFonts w:hint="eastAsia"/>
          <w:sz w:val="24"/>
          <w:szCs w:val="24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1、其他未尽事宜按照设计要求或相关国标、行标规定执行。</w:t>
      </w:r>
    </w:p>
    <w:p>
      <w:pPr>
        <w:ind w:firstLine="5280" w:firstLineChars="22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5280" w:firstLineChars="22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5280" w:firstLineChars="2200"/>
        <w:jc w:val="both"/>
        <w:rPr>
          <w:rFonts w:hint="eastAsia"/>
          <w:sz w:val="24"/>
          <w:szCs w:val="24"/>
          <w:lang w:val="en-US" w:eastAsia="zh-CN"/>
        </w:rPr>
      </w:pPr>
    </w:p>
    <w:p>
      <w:pPr>
        <w:ind w:firstLine="5280" w:firstLineChars="2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技术管理部</w:t>
      </w:r>
    </w:p>
    <w:p>
      <w:pPr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               2023年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eastAsia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MzRjNGIwYTkyOWZlMDNmMzAyOTUzNTNiOTBkN2MifQ=="/>
  </w:docVars>
  <w:rsids>
    <w:rsidRoot w:val="34E454E2"/>
    <w:rsid w:val="11C42471"/>
    <w:rsid w:val="14E573C4"/>
    <w:rsid w:val="182812DC"/>
    <w:rsid w:val="1E982F7E"/>
    <w:rsid w:val="202C1374"/>
    <w:rsid w:val="26A72F0B"/>
    <w:rsid w:val="347352B7"/>
    <w:rsid w:val="34E454E2"/>
    <w:rsid w:val="36D4156A"/>
    <w:rsid w:val="42736FD6"/>
    <w:rsid w:val="5BAE4F95"/>
    <w:rsid w:val="63EB4007"/>
    <w:rsid w:val="645A195D"/>
    <w:rsid w:val="65B1158F"/>
    <w:rsid w:val="71D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标题 2 字符"/>
    <w:link w:val="3"/>
    <w:qFormat/>
    <w:uiPriority w:val="0"/>
    <w:rPr>
      <w:rFonts w:ascii="Arial" w:hAnsi="Arial" w:eastAsia="黑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</Words>
  <Characters>801</Characters>
  <Lines>0</Lines>
  <Paragraphs>0</Paragraphs>
  <TotalTime>11</TotalTime>
  <ScaleCrop>false</ScaleCrop>
  <LinksUpToDate>false</LinksUpToDate>
  <CharactersWithSpaces>802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2023-05-24T01:22:00Z</dcterms:created>
  <dc:creator>Apple</dc:creator>
  <cp:lastModifiedBy>lyl</cp:lastModifiedBy>
  <dcterms:modified xsi:type="dcterms:W3CDTF">2023-05-30T07:32:05Z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BA8CADA64ED04F299774F5EE4F3572E6</vt:lpwstr>
  </property>
</Properties>
</file>