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Theme="minorEastAsia" w:hAnsiTheme="minorEastAsia" w:eastAsiaTheme="minorEastAsia" w:cstheme="minorEastAsia"/>
          <w:b/>
          <w:bCs/>
          <w:color w:val="000000"/>
          <w:sz w:val="32"/>
          <w:szCs w:val="32"/>
          <w:lang w:val="en-US" w:eastAsia="zh-CN"/>
        </w:rPr>
      </w:pPr>
      <w:r>
        <w:rPr>
          <w:rFonts w:hint="eastAsia" w:asciiTheme="minorEastAsia" w:hAnsiTheme="minorEastAsia" w:eastAsiaTheme="minorEastAsia" w:cstheme="minorEastAsia"/>
          <w:b/>
          <w:bCs/>
          <w:color w:val="000000"/>
          <w:sz w:val="32"/>
          <w:szCs w:val="32"/>
          <w:lang w:val="en-US" w:eastAsia="zh-CN"/>
        </w:rPr>
        <w:t>玻璃纤维增强塑料夹砂管（玻璃钢夹砂管）技术要求</w:t>
      </w:r>
    </w:p>
    <w:p>
      <w:pPr>
        <w:spacing w:line="500" w:lineRule="exact"/>
        <w:jc w:val="left"/>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一.遵循标准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GB/T 21238-2016《玻璃纤维增强塑料夹砂管》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GB/T 1447-2005《纤维增强塑料拉伸性能试验方法》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GB/T 1449-2005《纤维增强塑料弯曲性能试验方法》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GB/T 1458-2008《纤维缠绕增强塑料环形试样力学性能试验方法》</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br w:type="textWrapping"/>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    GB/T 2576-2005《纤维增强塑料树脂不可溶分含量试验方法》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GB/T 2577-2005《玻璃纤维增强塑料树脂含量试验方法》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GB/T 3854-2017《增强塑料巴柯尔硬度试验方法》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GB/T 5349-2005《纤维增强热固性塑料管轴向拉伸性能试验方法》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GB/T 5351-2005《纤维增强热固性塑料管短时水压失效压力试验方法》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GB/T 5352-2005《纤维增强热固性塑料管平行板外载性能试验方法》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GB/T 21873-2008《橡胶密封件给排水管及污水管道用接口密封圈材料规范》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GB/T 18369《玻璃纤维无捻粗纱》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GB/T 8237-2005《纤维增强塑料用液体不饱和聚酯树脂》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06MS201-2《埋地塑料排水管道施工》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C</w:t>
      </w:r>
      <w:r>
        <w:rPr>
          <w:rFonts w:hint="eastAsia" w:asciiTheme="minorEastAsia" w:hAnsiTheme="minorEastAsia" w:eastAsiaTheme="minorEastAsia" w:cstheme="minorEastAsia"/>
          <w:b w:val="0"/>
          <w:bCs w:val="0"/>
          <w:color w:val="000000"/>
          <w:sz w:val="24"/>
          <w:szCs w:val="24"/>
          <w:lang w:val="en-US" w:eastAsia="zh-CN"/>
        </w:rPr>
        <w:t>ECS 129：2001</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《埋地给水排水玻璃纤维增强热固性树脂夹砂管管道工程施工及验收规程》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不注日期的标准文件，其最新版本适用于本次技术要求标准。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二.技术要求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1.原材料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1.1增强材料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应采用无碱玻璃纤维及其制品制造玻璃纤维增强塑料夹砂管。所采用的无碱无捻玻璃纤维纱应符合GB/T18369的规定，无碱玻璃纤维制品应符合相应的国家或行业标准的规定。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1.2树脂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所采用的不饱和聚酯树脂应符合GB/T8237的规定。其他树脂应符合相应的国家或行业标准的规定。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内衬层树脂应采用间苯型不饱和聚酯树脂、双酚A型不饱和聚酯树脂或乙烯基酯树脂。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1.3填料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填料的最大粒径不准许大于2.5mm和五分之一管壁厚度之间的较小值。其中石英砂的SiO</w:t>
      </w:r>
      <w:r>
        <w:rPr>
          <w:rFonts w:hint="eastAsia" w:asciiTheme="minorEastAsia" w:hAnsiTheme="minorEastAsia" w:eastAsiaTheme="minorEastAsia" w:cstheme="minorEastAsia"/>
          <w:b w:val="0"/>
          <w:bCs w:val="0"/>
          <w:color w:val="000000" w:themeColor="text1"/>
          <w:sz w:val="24"/>
          <w:szCs w:val="24"/>
          <w:vertAlign w:val="subscript"/>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含量应大于95%，含水量应不大于0.2%，碳酸钙的CaCO</w:t>
      </w:r>
      <w:r>
        <w:rPr>
          <w:rFonts w:hint="eastAsia" w:asciiTheme="minorEastAsia" w:hAnsiTheme="minorEastAsia" w:eastAsiaTheme="minorEastAsia" w:cstheme="minorEastAsia"/>
          <w:b w:val="0"/>
          <w:bCs w:val="0"/>
          <w:color w:val="000000" w:themeColor="text1"/>
          <w:sz w:val="24"/>
          <w:szCs w:val="24"/>
          <w:vertAlign w:val="subscript"/>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含量应大于98%，含水量应大于0.2%。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2.1外观质量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管材的内表面应光滑平整，无对使用性能有影响的龟裂、分层、针孔、杂质、贫胶区、气泡和纤维浸润不良等现象；管端面应平齐；边棱应无毛刺；外表面无明显缺陷。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2.2尺寸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2.2.1管材的公称直径为100-4000mm。</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2.2.2 长度</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left"/>
        <w:textAlignment w:val="auto"/>
        <w:outlineLvl w:val="9"/>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管材的有效长度为3m，4m，5m，6m，9m，10m，12m，18m，如果需要特殊长度的管，在供货时由供需双方共同商定。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jc w:val="left"/>
        <w:textAlignment w:val="auto"/>
        <w:outlineLvl w:val="9"/>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管材的长度偏差:有效长度的</w:t>
      </w:r>
      <w:r>
        <w:rPr>
          <w:rFonts w:hint="default" w:ascii="Times New Roman" w:hAnsi="Times New Roman" w:eastAsia="微软雅黑"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0.5%,且不超过</w:t>
      </w:r>
      <w:r>
        <w:rPr>
          <w:rFonts w:hint="default" w:ascii="Times New Roman" w:hAnsi="Times New Roman" w:eastAsia="微软雅黑" w:cs="Times New Roman"/>
          <w:b w:val="0"/>
          <w:bCs w:val="0"/>
          <w:color w:val="000000" w:themeColor="text1"/>
          <w:sz w:val="24"/>
          <w:szCs w:val="24"/>
          <w:lang w:val="en-US"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60mm。</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2.2.3 管壁厚度</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任一截面的管壁平均厚度应不小于设计算度，最小管壁厚度应不小于设计厚度的90%。当管壁设计厚度不大于20mm时,管壁平均厚度应不大 1.15t，当管壁设计厚度大于20 mm 时,管壁平均厚度应不大于（t+3）mm。（注:t为管壁设计厚度,由管材生产企业通过设计确定,并在技术文件中给出。）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2.2.4内衬层厚度应不小于1.2mm。</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2.2.5管端面垂直度符合下表规定。</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3"/>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eastAsiaTheme="minorEastAsia"/>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公称直径DN（mm）</w:t>
            </w:r>
          </w:p>
        </w:tc>
        <w:tc>
          <w:tcPr>
            <w:tcW w:w="2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eastAsiaTheme="minorEastAsia"/>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管端面垂直度偏差（mm）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274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eastAsiaTheme="minorEastAsia"/>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DN</w:t>
            </w:r>
            <w:r>
              <w:rPr>
                <w:rFonts w:hint="default" w:ascii="Times New Roman" w:hAnsi="Times New Roman" w:eastAsia="微软雅黑" w:cs="Times New Roman"/>
                <w:b w:val="0"/>
                <w:bCs w:val="0"/>
                <w:color w:val="000000" w:themeColor="text1"/>
                <w:sz w:val="24"/>
                <w:szCs w:val="24"/>
                <w:lang w:val="en-US" w:eastAsia="zh-CN"/>
                <w14:textFill>
                  <w14:solidFill>
                    <w14:schemeClr w14:val="tx1"/>
                  </w14:solidFill>
                </w14:textFill>
              </w:rPr>
              <w:t>&lt;600</w:t>
            </w:r>
          </w:p>
        </w:tc>
        <w:tc>
          <w:tcPr>
            <w:tcW w:w="2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eastAsia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4"/>
                <w:szCs w:val="24"/>
                <w:vertAlign w:val="baseli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eastAsiaTheme="minorEastAsia"/>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vertAlign w:val="baseline"/>
                <w:lang w:val="en-US" w:eastAsia="zh-CN"/>
                <w14:textFill>
                  <w14:solidFill>
                    <w14:schemeClr w14:val="tx1"/>
                  </w14:solidFill>
                </w14:textFill>
              </w:rPr>
              <w:t>600≤</w:t>
            </w: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DN</w:t>
            </w:r>
            <w:r>
              <w:rPr>
                <w:rFonts w:hint="default" w:ascii="Times New Roman" w:hAnsi="Times New Roman" w:eastAsia="微软雅黑" w:cs="Times New Roman"/>
                <w:b w:val="0"/>
                <w:bCs w:val="0"/>
                <w:color w:val="000000" w:themeColor="text1"/>
                <w:sz w:val="24"/>
                <w:szCs w:val="24"/>
                <w:lang w:val="en-US" w:eastAsia="zh-CN"/>
                <w14:textFill>
                  <w14:solidFill>
                    <w14:schemeClr w14:val="tx1"/>
                  </w14:solidFill>
                </w14:textFill>
              </w:rPr>
              <w:t>&lt;1000</w:t>
            </w:r>
          </w:p>
        </w:tc>
        <w:tc>
          <w:tcPr>
            <w:tcW w:w="2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eastAsia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4"/>
                <w:szCs w:val="24"/>
                <w:vertAlign w:val="baseli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3"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eastAsiaTheme="minorEastAsia"/>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lang w:val="en-US" w:eastAsia="zh-CN"/>
                <w14:textFill>
                  <w14:solidFill>
                    <w14:schemeClr w14:val="tx1"/>
                  </w14:solidFill>
                </w14:textFill>
              </w:rPr>
              <w:t>DN</w:t>
            </w:r>
            <w:r>
              <w:rPr>
                <w:rFonts w:hint="default" w:ascii="Times New Roman" w:hAnsi="Times New Roman" w:cs="Times New Roman" w:eastAsiaTheme="minorEastAsia"/>
                <w:b w:val="0"/>
                <w:bCs w:val="0"/>
                <w:color w:val="000000" w:themeColor="text1"/>
                <w:sz w:val="24"/>
                <w:szCs w:val="24"/>
                <w:vertAlign w:val="baseline"/>
                <w:lang w:val="en-US" w:eastAsia="zh-CN"/>
                <w14:textFill>
                  <w14:solidFill>
                    <w14:schemeClr w14:val="tx1"/>
                  </w14:solidFill>
                </w14:textFill>
              </w:rPr>
              <w:t>≥1000</w:t>
            </w:r>
          </w:p>
        </w:tc>
        <w:tc>
          <w:tcPr>
            <w:tcW w:w="298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cs="Times New Roman" w:eastAsiaTheme="minorEastAsia"/>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cs="Times New Roman" w:eastAsiaTheme="minorEastAsia"/>
                <w:b w:val="0"/>
                <w:bCs w:val="0"/>
                <w:color w:val="000000" w:themeColor="text1"/>
                <w:sz w:val="24"/>
                <w:szCs w:val="24"/>
                <w:vertAlign w:val="baseline"/>
                <w:lang w:val="en-US" w:eastAsia="zh-CN"/>
                <w14:textFill>
                  <w14:solidFill>
                    <w14:schemeClr w14:val="tx1"/>
                  </w14:solidFill>
                </w14:textFill>
              </w:rPr>
              <w:t>8</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2.3管材外表面的巴柯尔硬度应不小于40。</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2.4管壁中树脂的不可溶分含量应不小于 90%。</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2.5 直管段管壁组分质量百分含量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直管段管壁中玻璃纤维、树脂和填料的含量由管材设计确定，并应在技术文件中明确给出。各组分的质量百分含量允许偏差为±3。</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2.6 初始力学性能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2.6.1 初始环刚度应不小于相应的环刚度等级值。</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2.6.2 初始环向拉伸强力</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管壁的初始环向控伸强力应根据工程设计来确定。但其最小值按照GB/T21238-2016中6.6.2部分来确定。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2.6.3 初始轴向拉伸强力及拉伸断裂应变按照GB/T21238-2016中6.6.3部分来确定。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2.6.4初始挠曲性按照GB/T21238-2016中6.6.5部分来确定。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2.6.5初始环向弯曲强度按照GB/T21238-2016中6.6.6部分来确定。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2.6.6水压渗漏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对整管或带有接头连接好的整管施加该管压力体级1.5倍的水内压，保持2</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0min</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管体及连接部位应不渗漏。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2.7长期性能按照GB/T21238-2016中6.7部分来确定。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2.8管材的环刚度一般为1.25-10KN/m</w:t>
      </w:r>
      <w:r>
        <w:rPr>
          <w:rFonts w:hint="eastAsia" w:asciiTheme="minorEastAsia" w:hAnsiTheme="minorEastAsia" w:eastAsiaTheme="minorEastAsia" w:cstheme="minorEastAsia"/>
          <w:b w:val="0"/>
          <w:bCs w:val="0"/>
          <w:color w:val="000000" w:themeColor="text1"/>
          <w:sz w:val="24"/>
          <w:szCs w:val="24"/>
          <w:vertAlign w:val="superscript"/>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，具体以设计要求为准。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标志、贮存、出厂证明书和技术文件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3.1标志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每根玻璃纤维增强塑料夹砂管至少应在一处做上耐久标志。标志不应损伤管壁,在正常装卸和安装中字迹仍应保持清楚。标志应包括:生产厂名称(或商标); 产品标记;批号及产品编号; 生产日期。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3.2贮存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3.2.1 玻璃纤维增强塑料夹砂管应按类型、规格、等级分类堆放。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3.2.2 堆放场地应平整。管的叠层堆放应满足下表的要求。堆放处应远离热源,不宜长期露天存放。</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709"/>
        <w:gridCol w:w="815"/>
        <w:gridCol w:w="736"/>
        <w:gridCol w:w="725"/>
        <w:gridCol w:w="750"/>
        <w:gridCol w:w="1250"/>
        <w:gridCol w:w="1287"/>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公称直径（mm）</w:t>
            </w:r>
          </w:p>
        </w:tc>
        <w:tc>
          <w:tcPr>
            <w:tcW w:w="7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200</w:t>
            </w:r>
          </w:p>
        </w:tc>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250</w:t>
            </w:r>
          </w:p>
        </w:tc>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300</w:t>
            </w:r>
          </w:p>
        </w:tc>
        <w:tc>
          <w:tcPr>
            <w:tcW w:w="7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400</w:t>
            </w:r>
          </w:p>
        </w:tc>
        <w:tc>
          <w:tcPr>
            <w:tcW w:w="7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500</w:t>
            </w: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600-700</w:t>
            </w:r>
          </w:p>
        </w:tc>
        <w:tc>
          <w:tcPr>
            <w:tcW w:w="1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800-1200</w:t>
            </w:r>
          </w:p>
        </w:tc>
        <w:tc>
          <w:tcPr>
            <w:tcW w:w="10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vertAlign w:val="baseline"/>
                <w:lang w:val="en-US" w:eastAsia="zh-CN"/>
                <w14:textFill>
                  <w14:solidFill>
                    <w14:schemeClr w14:val="tx1"/>
                  </w14:solidFill>
                </w14:textFill>
              </w:rPr>
              <w:t>≥</w:t>
            </w:r>
            <w:r>
              <w:rPr>
                <w:rFonts w:hint="eastAsia" w:ascii="Times New Roman" w:hAnsi="Times New Roman" w:cs="Times New Roman" w:eastAsiaTheme="minorEastAsia"/>
                <w:b w:val="0"/>
                <w:bCs w:val="0"/>
                <w:color w:val="000000" w:themeColor="text1"/>
                <w:sz w:val="24"/>
                <w:szCs w:val="24"/>
                <w:vertAlign w:val="baseline"/>
                <w:lang w:val="en-US" w:eastAsia="zh-CN"/>
                <w14:textFill>
                  <w14:solidFill>
                    <w14:schemeClr w14:val="tx1"/>
                  </w14:solidFill>
                </w14:textFill>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最大层数</w:t>
            </w:r>
          </w:p>
        </w:tc>
        <w:tc>
          <w:tcPr>
            <w:tcW w:w="7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8</w:t>
            </w:r>
          </w:p>
        </w:tc>
        <w:tc>
          <w:tcPr>
            <w:tcW w:w="8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7</w:t>
            </w:r>
          </w:p>
        </w:tc>
        <w:tc>
          <w:tcPr>
            <w:tcW w:w="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6</w:t>
            </w:r>
          </w:p>
        </w:tc>
        <w:tc>
          <w:tcPr>
            <w:tcW w:w="72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5</w:t>
            </w:r>
          </w:p>
        </w:tc>
        <w:tc>
          <w:tcPr>
            <w:tcW w:w="7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4</w:t>
            </w:r>
          </w:p>
        </w:tc>
        <w:tc>
          <w:tcPr>
            <w:tcW w:w="12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3</w:t>
            </w:r>
          </w:p>
        </w:tc>
        <w:tc>
          <w:tcPr>
            <w:tcW w:w="12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2</w:t>
            </w:r>
          </w:p>
        </w:tc>
        <w:tc>
          <w:tcPr>
            <w:tcW w:w="10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outlineLvl w:val="9"/>
              <w:rPr>
                <w:rFonts w:hint="default"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vertAlign w:val="baseline"/>
                <w:lang w:val="en-US" w:eastAsia="zh-CN"/>
                <w14:textFill>
                  <w14:solidFill>
                    <w14:schemeClr w14:val="tx1"/>
                  </w14:solidFill>
                </w14:textFill>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3.2.3管材堆放时应设置管座,层与层之间应用垫木隔开。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3.3 出厂证明书和技术文件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3.3.1 每批玻璃纤维增强塑料夹砂管出厂时应附有出厂证明书和技术文件。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3.3.2 出厂证明书应包括:生产厂名称; 产品规格; 生产日期;产品出厂检验证明书。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3.3.3 技术文件至少应包括:规格;制造工艺;采用的主要原材料情况; 管壁设计厚度;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直管段管壁组分含量设计值; 管外形尺寸图。</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right="0" w:rightChars="0"/>
        <w:jc w:val="left"/>
        <w:textAlignment w:val="auto"/>
        <w:outlineLvl w:val="9"/>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其他未尽事宜按照设计要求和</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GB/T 21238-2016《玻璃纤维增强塑料夹砂管》执行。</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5.1管道接口方式以设计为准</w:t>
      </w:r>
      <w:r>
        <w:rPr>
          <w:rFonts w:hint="eastAsia" w:asciiTheme="minorEastAsia" w:hAnsiTheme="minorEastAsia" w:eastAsiaTheme="minorEastAsia" w:cstheme="minorEastAsia"/>
          <w:b w:val="0"/>
          <w:bCs w:val="0"/>
          <w:color w:val="000000"/>
          <w:sz w:val="24"/>
          <w:szCs w:val="24"/>
          <w:lang w:val="en-US" w:eastAsia="zh-CN"/>
        </w:rPr>
        <w:t>。弹</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性密封件采用具有耐酸、碱、污水腐蚀性能的三元乙丙橡胶，其性能除应符合国家标准《橡胶密封件 给排水管及污水管道用接口密封圈 材料规范》GB/T 21873-2008 要求外，还应符合以下要求：邵氏硬度50±5；伸长率≥400%；拉伸强度≥16MPa。</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5.2管材和</w:t>
      </w:r>
      <w:r>
        <w:rPr>
          <w:rFonts w:hint="eastAsia" w:asciiTheme="minorEastAsia" w:hAnsiTheme="minorEastAsia" w:eastAsiaTheme="minorEastAsia" w:cstheme="minorEastAsia"/>
          <w:b w:val="0"/>
          <w:bCs w:val="0"/>
          <w:color w:val="000000"/>
          <w:sz w:val="24"/>
          <w:szCs w:val="24"/>
          <w:lang w:val="en-US" w:eastAsia="zh-CN"/>
        </w:rPr>
        <w:t>弹</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性密封件采用同一厂家产品。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default"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三．其他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1、玻璃纤维增强塑料夹砂管管材</w:t>
      </w:r>
      <w:r>
        <w:rPr>
          <w:rFonts w:hint="eastAsia" w:asciiTheme="minorEastAsia" w:hAnsiTheme="minorEastAsia" w:eastAsiaTheme="minorEastAsia" w:cstheme="minorEastAsia"/>
          <w:sz w:val="24"/>
          <w:highlight w:val="none"/>
        </w:rPr>
        <w:t>质保期</w:t>
      </w:r>
      <w:r>
        <w:rPr>
          <w:rFonts w:hint="eastAsia" w:asciiTheme="minorEastAsia" w:hAnsiTheme="minorEastAsia" w:eastAsiaTheme="minorEastAsia" w:cstheme="minorEastAsia"/>
          <w:sz w:val="24"/>
          <w:highlight w:val="none"/>
          <w:lang w:val="en-US" w:eastAsia="zh-CN"/>
        </w:rPr>
        <w:t>满足招标单位提出的要求，且不低于行业同类产品的质保年限</w:t>
      </w:r>
      <w:r>
        <w:rPr>
          <w:rFonts w:hint="eastAsia" w:asciiTheme="minorEastAsia" w:hAnsiTheme="minorEastAsia" w:eastAsiaTheme="minorEastAsia" w:cstheme="minorEastAsia"/>
          <w:sz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2、其他未尽事宜按照设计要求或国标、行标要求。</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7680" w:firstLineChars="3200"/>
        <w:jc w:val="left"/>
        <w:textAlignment w:val="auto"/>
        <w:outlineLvl w:val="9"/>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技术管理部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7920" w:firstLineChars="3300"/>
        <w:jc w:val="left"/>
        <w:textAlignment w:val="auto"/>
        <w:outlineLvl w:val="9"/>
        <w:rPr>
          <w:rFonts w:hint="default"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2023.3.3</w:t>
      </w:r>
    </w:p>
    <w:sectPr>
      <w:headerReference r:id="rId3" w:type="default"/>
      <w:footerReference r:id="rId4" w:type="default"/>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EU-F1">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82DD6"/>
    <w:multiLevelType w:val="singleLevel"/>
    <w:tmpl w:val="C3682DD6"/>
    <w:lvl w:ilvl="0" w:tentative="0">
      <w:start w:val="4"/>
      <w:numFmt w:val="decimal"/>
      <w:suff w:val="nothing"/>
      <w:lvlText w:val="%1、"/>
      <w:lvlJc w:val="left"/>
    </w:lvl>
  </w:abstractNum>
  <w:abstractNum w:abstractNumId="1">
    <w:nsid w:val="0EAB80BF"/>
    <w:multiLevelType w:val="singleLevel"/>
    <w:tmpl w:val="0EAB80BF"/>
    <w:lvl w:ilvl="0" w:tentative="0">
      <w:start w:val="3"/>
      <w:numFmt w:val="decimal"/>
      <w:lvlText w:val="%1."/>
      <w:lvlJc w:val="left"/>
      <w:pPr>
        <w:tabs>
          <w:tab w:val="left" w:pos="312"/>
        </w:tabs>
      </w:p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6"/>
      <w:suff w:val="nothing"/>
      <w:lvlText w:val="%1%2　"/>
      <w:lvlJc w:val="left"/>
      <w:pPr>
        <w:ind w:left="147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MzRjNGIwYTkyOWZlMDNmMzAyOTUzNTNiOTBkN2MifQ=="/>
  </w:docVars>
  <w:rsids>
    <w:rsidRoot w:val="35590840"/>
    <w:rsid w:val="002D70FB"/>
    <w:rsid w:val="00502DC9"/>
    <w:rsid w:val="00937AD7"/>
    <w:rsid w:val="0094108C"/>
    <w:rsid w:val="00CB0B1A"/>
    <w:rsid w:val="00EF6054"/>
    <w:rsid w:val="011773C2"/>
    <w:rsid w:val="02ED01E1"/>
    <w:rsid w:val="03192B60"/>
    <w:rsid w:val="03490CF7"/>
    <w:rsid w:val="040C7CA3"/>
    <w:rsid w:val="041F70CB"/>
    <w:rsid w:val="042D00C3"/>
    <w:rsid w:val="05475CED"/>
    <w:rsid w:val="06666773"/>
    <w:rsid w:val="088F724B"/>
    <w:rsid w:val="0ADD34E8"/>
    <w:rsid w:val="0B841EBE"/>
    <w:rsid w:val="10AA3894"/>
    <w:rsid w:val="10D47CA5"/>
    <w:rsid w:val="10E66766"/>
    <w:rsid w:val="10F37D66"/>
    <w:rsid w:val="113822EE"/>
    <w:rsid w:val="132A6C91"/>
    <w:rsid w:val="135D7C6C"/>
    <w:rsid w:val="14423DE3"/>
    <w:rsid w:val="147D7A78"/>
    <w:rsid w:val="14966963"/>
    <w:rsid w:val="15344DFD"/>
    <w:rsid w:val="15DF7FFA"/>
    <w:rsid w:val="162A72E7"/>
    <w:rsid w:val="165F2A2B"/>
    <w:rsid w:val="178C553A"/>
    <w:rsid w:val="17AB341A"/>
    <w:rsid w:val="17CC67E6"/>
    <w:rsid w:val="1A3878E1"/>
    <w:rsid w:val="1ACE63D1"/>
    <w:rsid w:val="1B884C8D"/>
    <w:rsid w:val="1BF36DFC"/>
    <w:rsid w:val="1CB97484"/>
    <w:rsid w:val="1D186ECF"/>
    <w:rsid w:val="1DF732B8"/>
    <w:rsid w:val="1E7A61E8"/>
    <w:rsid w:val="1F7A7BB9"/>
    <w:rsid w:val="1FED5F53"/>
    <w:rsid w:val="20404157"/>
    <w:rsid w:val="218A07EF"/>
    <w:rsid w:val="21A30DF8"/>
    <w:rsid w:val="229C6C77"/>
    <w:rsid w:val="230E292F"/>
    <w:rsid w:val="232F19D7"/>
    <w:rsid w:val="25B979F7"/>
    <w:rsid w:val="268273E7"/>
    <w:rsid w:val="277C1B6A"/>
    <w:rsid w:val="27AC4587"/>
    <w:rsid w:val="28447153"/>
    <w:rsid w:val="28907962"/>
    <w:rsid w:val="2A9D5AE1"/>
    <w:rsid w:val="2AAF11CD"/>
    <w:rsid w:val="2B1A11DC"/>
    <w:rsid w:val="2B7D4283"/>
    <w:rsid w:val="2BA657C5"/>
    <w:rsid w:val="2DE669DC"/>
    <w:rsid w:val="2F47752A"/>
    <w:rsid w:val="2FF24A1C"/>
    <w:rsid w:val="3053179E"/>
    <w:rsid w:val="311B56E6"/>
    <w:rsid w:val="31647344"/>
    <w:rsid w:val="321B3587"/>
    <w:rsid w:val="323F1AC8"/>
    <w:rsid w:val="32AD35FE"/>
    <w:rsid w:val="32F4019D"/>
    <w:rsid w:val="340E4E6D"/>
    <w:rsid w:val="34FC6A6B"/>
    <w:rsid w:val="35590840"/>
    <w:rsid w:val="36FC58BF"/>
    <w:rsid w:val="38114C61"/>
    <w:rsid w:val="39572A1A"/>
    <w:rsid w:val="3AAE7133"/>
    <w:rsid w:val="3B7C206D"/>
    <w:rsid w:val="3BA86199"/>
    <w:rsid w:val="3C1719A7"/>
    <w:rsid w:val="3DF15DAF"/>
    <w:rsid w:val="3E8F1850"/>
    <w:rsid w:val="3F463D5A"/>
    <w:rsid w:val="3F471133"/>
    <w:rsid w:val="3FEF06B0"/>
    <w:rsid w:val="404D65EE"/>
    <w:rsid w:val="40AB3CA5"/>
    <w:rsid w:val="411962C3"/>
    <w:rsid w:val="413F2F03"/>
    <w:rsid w:val="41BC18D8"/>
    <w:rsid w:val="42602966"/>
    <w:rsid w:val="42B4132B"/>
    <w:rsid w:val="42F340A6"/>
    <w:rsid w:val="43A1661B"/>
    <w:rsid w:val="43BC4F04"/>
    <w:rsid w:val="45B44C78"/>
    <w:rsid w:val="4617120F"/>
    <w:rsid w:val="47592F34"/>
    <w:rsid w:val="47FE407E"/>
    <w:rsid w:val="491450D2"/>
    <w:rsid w:val="495A02AF"/>
    <w:rsid w:val="4A746031"/>
    <w:rsid w:val="4ABB461D"/>
    <w:rsid w:val="4CBA444F"/>
    <w:rsid w:val="4D726118"/>
    <w:rsid w:val="4E0453E4"/>
    <w:rsid w:val="50AA42C7"/>
    <w:rsid w:val="50FD0233"/>
    <w:rsid w:val="529B7253"/>
    <w:rsid w:val="530E3233"/>
    <w:rsid w:val="53450627"/>
    <w:rsid w:val="5461149F"/>
    <w:rsid w:val="58993B1A"/>
    <w:rsid w:val="5969186D"/>
    <w:rsid w:val="59D05796"/>
    <w:rsid w:val="5A0945B7"/>
    <w:rsid w:val="5B6B5DA5"/>
    <w:rsid w:val="5C03403B"/>
    <w:rsid w:val="5D470FAB"/>
    <w:rsid w:val="608738D0"/>
    <w:rsid w:val="60BB0A35"/>
    <w:rsid w:val="60E474D2"/>
    <w:rsid w:val="61074AF0"/>
    <w:rsid w:val="615B02C6"/>
    <w:rsid w:val="61EE1106"/>
    <w:rsid w:val="62674F99"/>
    <w:rsid w:val="63ED4B27"/>
    <w:rsid w:val="645F2357"/>
    <w:rsid w:val="64F8477D"/>
    <w:rsid w:val="65014476"/>
    <w:rsid w:val="65D83093"/>
    <w:rsid w:val="66F82907"/>
    <w:rsid w:val="67E84DD0"/>
    <w:rsid w:val="68F34C47"/>
    <w:rsid w:val="698B2D92"/>
    <w:rsid w:val="698D7BFE"/>
    <w:rsid w:val="6A4E5643"/>
    <w:rsid w:val="6B5169F8"/>
    <w:rsid w:val="6B5C5CEE"/>
    <w:rsid w:val="6B936CF1"/>
    <w:rsid w:val="6BFD57B7"/>
    <w:rsid w:val="6CA00FD6"/>
    <w:rsid w:val="6D7A432B"/>
    <w:rsid w:val="6D7C6B93"/>
    <w:rsid w:val="6DE972E3"/>
    <w:rsid w:val="6FA85423"/>
    <w:rsid w:val="707D2817"/>
    <w:rsid w:val="714A0530"/>
    <w:rsid w:val="7217506B"/>
    <w:rsid w:val="74F715C8"/>
    <w:rsid w:val="75C313A2"/>
    <w:rsid w:val="79080E04"/>
    <w:rsid w:val="7A0450B9"/>
    <w:rsid w:val="7A866222"/>
    <w:rsid w:val="7AD6318A"/>
    <w:rsid w:val="7AFA4A88"/>
    <w:rsid w:val="7B986B73"/>
    <w:rsid w:val="7CC1457E"/>
    <w:rsid w:val="7CC62243"/>
    <w:rsid w:val="7D670DDF"/>
    <w:rsid w:val="7D8738A4"/>
    <w:rsid w:val="7E575843"/>
    <w:rsid w:val="7F1E775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1"/>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99"/>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widowControl/>
      <w:spacing w:before="180" w:after="180"/>
      <w:jc w:val="left"/>
    </w:pPr>
    <w:rPr>
      <w:kern w:val="0"/>
      <w:sz w:val="24"/>
      <w:szCs w:val="24"/>
      <w:lang w:eastAsia="en-US"/>
    </w:rPr>
  </w:style>
  <w:style w:type="paragraph" w:styleId="4">
    <w:name w:val="Plain Text"/>
    <w:basedOn w:val="1"/>
    <w:unhideWhenUsed/>
    <w:qFormat/>
    <w:uiPriority w:val="99"/>
    <w:rPr>
      <w:rFonts w:ascii="宋体" w:hAnsi="Courier New" w:cs="Courier New"/>
      <w:szCs w:val="21"/>
    </w:rPr>
  </w:style>
  <w:style w:type="paragraph" w:styleId="5">
    <w:name w:val="Balloon Text"/>
    <w:basedOn w:val="1"/>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unhideWhenUsed/>
    <w:qFormat/>
    <w:uiPriority w:val="99"/>
    <w:rPr>
      <w:sz w:val="2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99"/>
    <w:rPr>
      <w:rFonts w:cs="Times New Roman"/>
      <w:b/>
      <w:bCs/>
    </w:rPr>
  </w:style>
  <w:style w:type="paragraph" w:customStyle="1" w:styleId="14">
    <w:name w:val="Char"/>
    <w:basedOn w:val="1"/>
    <w:semiHidden/>
    <w:qFormat/>
    <w:uiPriority w:val="0"/>
    <w:pPr>
      <w:spacing w:line="360" w:lineRule="auto"/>
      <w:ind w:firstLine="200" w:firstLineChars="200"/>
    </w:pPr>
    <w:rPr>
      <w:rFonts w:ascii="宋体" w:hAnsi="宋体" w:cs="宋体"/>
      <w:sz w:val="24"/>
    </w:rPr>
  </w:style>
  <w:style w:type="paragraph" w:customStyle="1" w:styleId="15">
    <w:name w:val="表头"/>
    <w:basedOn w:val="1"/>
    <w:qFormat/>
    <w:uiPriority w:val="0"/>
    <w:pPr>
      <w:spacing w:before="160" w:after="60" w:line="312" w:lineRule="exact"/>
      <w:jc w:val="center"/>
    </w:pPr>
    <w:rPr>
      <w:rFonts w:ascii="EU-F1" w:eastAsia="黑体"/>
      <w:szCs w:val="21"/>
    </w:rPr>
  </w:style>
  <w:style w:type="paragraph" w:customStyle="1" w:styleId="16">
    <w:name w:val="章标题"/>
    <w:next w:val="17"/>
    <w:qFormat/>
    <w:uiPriority w:val="0"/>
    <w:pPr>
      <w:numPr>
        <w:ilvl w:val="1"/>
        <w:numId w:val="1"/>
      </w:numPr>
      <w:spacing w:before="50" w:beforeLines="50" w:after="50" w:afterLines="50"/>
      <w:jc w:val="both"/>
      <w:outlineLvl w:val="1"/>
    </w:pPr>
    <w:rPr>
      <w:rFonts w:ascii="黑体" w:hAnsi="Times New Roman" w:eastAsia="黑体" w:cs="Times New Roman"/>
      <w:sz w:val="21"/>
      <w:szCs w:val="22"/>
      <w:lang w:val="en-US" w:eastAsia="zh-CN" w:bidi="ar-SA"/>
    </w:rPr>
  </w:style>
  <w:style w:type="paragraph" w:customStyle="1" w:styleId="17">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8">
    <w:name w:val="样式2"/>
    <w:basedOn w:val="1"/>
    <w:qFormat/>
    <w:uiPriority w:val="0"/>
    <w:pPr>
      <w:widowControl/>
      <w:spacing w:line="312" w:lineRule="exact"/>
    </w:pPr>
    <w:rPr>
      <w:rFonts w:ascii="EU-F1" w:eastAsia="黑体"/>
      <w:color w:val="000000"/>
      <w:kern w:val="44"/>
      <w:szCs w:val="21"/>
    </w:rPr>
  </w:style>
  <w:style w:type="paragraph" w:customStyle="1" w:styleId="19">
    <w:name w:val="样式 3"/>
    <w:basedOn w:val="1"/>
    <w:semiHidden/>
    <w:qFormat/>
    <w:uiPriority w:val="0"/>
    <w:pPr>
      <w:topLinePunct/>
      <w:ind w:left="840" w:hanging="420"/>
    </w:pPr>
    <w:rPr>
      <w:kern w:val="21"/>
      <w:szCs w:val="21"/>
    </w:rPr>
  </w:style>
  <w:style w:type="paragraph" w:customStyle="1" w:styleId="20">
    <w:name w:val="BodyText"/>
    <w:basedOn w:val="1"/>
    <w:qFormat/>
    <w:uiPriority w:val="0"/>
    <w:pPr>
      <w:widowControl/>
      <w:spacing w:before="180" w:after="180"/>
      <w:jc w:val="left"/>
      <w:textAlignment w:val="baseline"/>
    </w:pPr>
    <w:rPr>
      <w:rFonts w:ascii="Calibri" w:hAnsi="Calibri" w:eastAsia="宋体"/>
      <w:kern w:val="0"/>
      <w:sz w:val="24"/>
      <w:szCs w:val="24"/>
      <w:lang w:eastAsia="en-US" w:bidi="ar-SA"/>
    </w:rPr>
  </w:style>
  <w:style w:type="character" w:customStyle="1" w:styleId="21">
    <w:name w:val="NormalCharacter"/>
    <w:link w:val="1"/>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1884</Words>
  <Characters>2423</Characters>
  <Lines>0</Lines>
  <Paragraphs>0</Paragraphs>
  <TotalTime>6</TotalTime>
  <ScaleCrop>false</ScaleCrop>
  <LinksUpToDate>false</LinksUpToDate>
  <CharactersWithSpaces>2535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2017-07-18T00:20:00Z</dcterms:created>
  <dc:creator>Administrator</dc:creator>
  <cp:lastModifiedBy>Apple</cp:lastModifiedBy>
  <dcterms:modified xsi:type="dcterms:W3CDTF">2023-03-07T06:54:54Z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8290AFEB1F12459E9BF18F941EFA233A</vt:lpwstr>
  </property>
</Properties>
</file>