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rPr>
          <w:rFonts w:hint="eastAsia" w:ascii="宋体" w:hAnsi="宋体"/>
          <w:b/>
          <w:color w:val="auto"/>
          <w:sz w:val="36"/>
          <w:szCs w:val="36"/>
          <w:lang w:eastAsia="zh-CN"/>
        </w:rPr>
      </w:pPr>
      <w:bookmarkStart w:id="0" w:name="_Toc14207734"/>
      <w:r>
        <w:rPr>
          <w:rFonts w:hint="eastAsia" w:ascii="宋体" w:hAnsi="宋体"/>
          <w:b/>
          <w:color w:val="auto"/>
          <w:sz w:val="36"/>
          <w:szCs w:val="36"/>
          <w:lang w:eastAsia="zh-CN"/>
        </w:rPr>
        <w:t>罐式叠压供水设备技术</w:t>
      </w:r>
      <w:bookmarkEnd w:id="0"/>
      <w:r>
        <w:rPr>
          <w:rFonts w:hint="eastAsia" w:ascii="宋体" w:hAnsi="宋体"/>
          <w:b/>
          <w:color w:val="auto"/>
          <w:sz w:val="36"/>
          <w:szCs w:val="36"/>
          <w:lang w:eastAsia="zh-CN"/>
        </w:rPr>
        <w:t>要求</w:t>
      </w:r>
      <w:r>
        <w:rPr>
          <w:rFonts w:hint="eastAsia" w:ascii="宋体" w:hAnsi="宋体"/>
          <w:b/>
          <w:color w:val="auto"/>
          <w:sz w:val="36"/>
          <w:szCs w:val="36"/>
          <w:lang w:val="en-US" w:eastAsia="zh-CN"/>
        </w:rPr>
        <w:t xml:space="preserve"> </w:t>
      </w:r>
    </w:p>
    <w:p>
      <w:pPr>
        <w:spacing w:line="240" w:lineRule="auto"/>
        <w:jc w:val="lef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一</w:t>
      </w:r>
      <w:r>
        <w:rPr>
          <w:rFonts w:hint="eastAsia" w:asciiTheme="minorEastAsia" w:hAnsiTheme="minorEastAsia" w:eastAsiaTheme="minorEastAsia" w:cstheme="minorEastAsia"/>
          <w:b/>
          <w:bCs/>
          <w:color w:val="auto"/>
          <w:sz w:val="24"/>
          <w:lang w:val="en-US" w:eastAsia="zh-CN"/>
        </w:rPr>
        <w:t>.</w:t>
      </w:r>
      <w:r>
        <w:rPr>
          <w:rFonts w:hint="eastAsia" w:asciiTheme="minorEastAsia" w:hAnsiTheme="minorEastAsia" w:eastAsiaTheme="minorEastAsia" w:cstheme="minorEastAsia"/>
          <w:b/>
          <w:bCs/>
          <w:color w:val="auto"/>
          <w:sz w:val="24"/>
        </w:rPr>
        <w:t>遵循标准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GB/T 38594-2020《管网叠压供水设备》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asciiTheme="minorEastAsia" w:hAnsiTheme="minorEastAsia" w:eastAsiaTheme="minorEastAsia" w:cstheme="minorEastAsia"/>
          <w:color w:val="auto"/>
          <w:sz w:val="24"/>
        </w:rPr>
      </w:pPr>
      <w:bookmarkStart w:id="1" w:name="_Toc14207746"/>
      <w:r>
        <w:rPr>
          <w:rFonts w:hint="eastAsia" w:asciiTheme="minorEastAsia" w:hAnsiTheme="minorEastAsia" w:eastAsiaTheme="minorEastAsia" w:cstheme="minorEastAsia"/>
          <w:color w:val="auto"/>
          <w:sz w:val="24"/>
        </w:rPr>
        <w:t>GB/T 24912-2015《罐式叠压供水设备》</w:t>
      </w:r>
      <w:bookmarkEnd w:id="1"/>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 150-2011《钢制压力容器》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2" w:name="_Toc14207735"/>
      <w:r>
        <w:rPr>
          <w:rFonts w:hint="eastAsia" w:asciiTheme="minorEastAsia" w:hAnsiTheme="minorEastAsia" w:eastAsiaTheme="minorEastAsia" w:cstheme="minorEastAsia"/>
          <w:color w:val="auto"/>
          <w:sz w:val="24"/>
        </w:rPr>
        <w:t>GB/T 3797-2016《电气控制设备》</w:t>
      </w:r>
      <w:bookmarkEnd w:id="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 50055-2011《通用用电设备配电设计规范》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 50303-2015《建筑电气工程施工质量验收规范》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3" w:name="_Toc14207739"/>
      <w:r>
        <w:rPr>
          <w:rFonts w:hint="eastAsia" w:asciiTheme="minorEastAsia" w:hAnsiTheme="minorEastAsia" w:eastAsiaTheme="minorEastAsia" w:cstheme="minorEastAsia"/>
          <w:color w:val="auto"/>
          <w:sz w:val="24"/>
        </w:rPr>
        <w:t>CJ/T 352-2010《微机控制变频调速给水设备》</w:t>
      </w:r>
      <w:bookmarkEnd w:id="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GB/T 29531-2013《泵的振动测量与评价方法》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4" w:name="_Toc14207740"/>
      <w:r>
        <w:rPr>
          <w:rFonts w:hint="eastAsia" w:asciiTheme="minorEastAsia" w:hAnsiTheme="minorEastAsia" w:eastAsiaTheme="minorEastAsia" w:cstheme="minorEastAsia"/>
          <w:color w:val="auto"/>
          <w:sz w:val="24"/>
        </w:rPr>
        <w:t>GB/T 29529-2013《泵的噪声测量与评价方法》</w:t>
      </w:r>
      <w:bookmarkEnd w:id="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GB/T 19228.2-2016《不锈钢卡压式管件连接用薄壁不锈钢管》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5" w:name="_Toc14207741"/>
      <w:r>
        <w:rPr>
          <w:rFonts w:hint="eastAsia" w:asciiTheme="minorEastAsia" w:hAnsiTheme="minorEastAsia" w:eastAsiaTheme="minorEastAsia" w:cstheme="minorEastAsia"/>
          <w:color w:val="auto"/>
          <w:sz w:val="24"/>
        </w:rPr>
        <w:t>GB/T 12771-2019《流体输送用不锈钢焊接钢管》</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GB/T 19228.1-2016《不锈钢卡压式管件》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GB/T 19228.3-2016《不锈钢卡压式管件组件第3部分O形橡胶密封圈》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6" w:name="_Toc14207742"/>
      <w:r>
        <w:rPr>
          <w:rFonts w:hint="eastAsia" w:asciiTheme="minorEastAsia" w:hAnsiTheme="minorEastAsia" w:eastAsiaTheme="minorEastAsia" w:cstheme="minorEastAsia"/>
          <w:color w:val="auto"/>
          <w:sz w:val="24"/>
        </w:rPr>
        <w:t>CJ/T 152-2016《薄壁不锈钢卡压式和沟槽式管件》</w:t>
      </w:r>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CECS109-2013《建筑给水减压阀应用设计规程》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7" w:name="_Toc14207743"/>
      <w:r>
        <w:rPr>
          <w:rFonts w:hint="eastAsia" w:asciiTheme="minorEastAsia" w:hAnsiTheme="minorEastAsia" w:eastAsiaTheme="minorEastAsia" w:cstheme="minorEastAsia"/>
          <w:color w:val="auto"/>
          <w:sz w:val="24"/>
        </w:rPr>
        <w:t>GB 50118-2010《民用建筑隔声设计规范》</w:t>
      </w:r>
      <w:bookmarkEnd w:id="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bookmarkStart w:id="8" w:name="_Toc14207745"/>
      <w:r>
        <w:rPr>
          <w:rFonts w:hint="eastAsia" w:asciiTheme="minorEastAsia" w:hAnsiTheme="minorEastAsia" w:eastAsiaTheme="minorEastAsia" w:cstheme="minorEastAsia"/>
          <w:color w:val="auto"/>
          <w:sz w:val="24"/>
        </w:rPr>
        <w:t>GB 50055-2011《通用用电设备配电设计规范》</w:t>
      </w:r>
      <w:bookmarkEnd w:id="8"/>
    </w:p>
    <w:p>
      <w:pPr>
        <w:spacing w:line="240" w:lineRule="auto"/>
        <w:ind w:firstLine="482" w:firstLineChars="200"/>
        <w:jc w:val="left"/>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二</w:t>
      </w:r>
      <w:r>
        <w:rPr>
          <w:rFonts w:hint="eastAsia" w:asciiTheme="minorEastAsia" w:hAnsiTheme="minorEastAsia" w:eastAsiaTheme="minorEastAsia" w:cstheme="minorEastAsia"/>
          <w:b/>
          <w:bCs/>
          <w:color w:val="auto"/>
          <w:sz w:val="24"/>
          <w:lang w:val="en-US" w:eastAsia="zh-CN"/>
        </w:rPr>
        <w:t>.成套设备性能要求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1.基本</w:t>
      </w:r>
      <w:r>
        <w:rPr>
          <w:rFonts w:hint="eastAsia" w:asciiTheme="minorEastAsia" w:hAnsiTheme="minorEastAsia" w:eastAsiaTheme="minorEastAsia" w:cstheme="minorEastAsia"/>
          <w:color w:val="auto"/>
          <w:sz w:val="24"/>
          <w:lang w:eastAsia="zh-CN"/>
        </w:rPr>
        <w:t>功能</w:t>
      </w:r>
      <w:r>
        <w:rPr>
          <w:rFonts w:hint="eastAsia" w:asciiTheme="minorEastAsia" w:hAnsiTheme="minorEastAsia" w:eastAsiaTheme="minorEastAsia" w:cstheme="minorEastAsia"/>
          <w:color w:val="auto"/>
          <w:sz w:val="24"/>
        </w:rPr>
        <w:t>要求</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Theme="minorEastAsia" w:hAnsiTheme="minorEastAsia" w:eastAsiaTheme="minorEastAsia" w:cstheme="minorEastAsia"/>
          <w:color w:val="auto"/>
          <w:sz w:val="24"/>
        </w:rPr>
        <w:t>1.1罐式</w:t>
      </w:r>
      <w:r>
        <w:rPr>
          <w:rFonts w:hint="eastAsia" w:asciiTheme="minorEastAsia" w:hAnsiTheme="minorEastAsia" w:eastAsiaTheme="minorEastAsia" w:cstheme="minorEastAsia"/>
          <w:color w:val="auto"/>
          <w:sz w:val="24"/>
          <w:lang w:eastAsia="zh-CN"/>
        </w:rPr>
        <w:t>叠压</w:t>
      </w:r>
      <w:r>
        <w:rPr>
          <w:rFonts w:hint="eastAsia" w:asciiTheme="minorEastAsia" w:hAnsiTheme="minorEastAsia" w:eastAsiaTheme="minorEastAsia" w:cstheme="minorEastAsia"/>
          <w:color w:val="auto"/>
          <w:sz w:val="24"/>
        </w:rPr>
        <w:t>供水设备（后文简称设备）</w:t>
      </w:r>
      <w:r>
        <w:rPr>
          <w:rFonts w:hint="eastAsia" w:ascii="宋体" w:hAnsi="宋体" w:eastAsia="宋体" w:cs="宋体"/>
          <w:color w:val="000000"/>
          <w:kern w:val="0"/>
          <w:sz w:val="24"/>
          <w:szCs w:val="24"/>
          <w:lang w:val="en-US" w:eastAsia="zh-CN" w:bidi="ar"/>
        </w:rPr>
        <w:t xml:space="preserve">由水泵机组、稳流补偿罐、控制柜、阀门及管路系统等配套附件组成,与供水管网连接增压供水,保证供水管网水压不小于设定值,且水质不被污染的供水设备。 </w:t>
      </w:r>
    </w:p>
    <w:p>
      <w:pPr>
        <w:keepNext w:val="0"/>
        <w:keepLines w:val="0"/>
        <w:widowControl/>
        <w:suppressLineNumbers w:val="0"/>
        <w:ind w:firstLine="480" w:firstLineChars="200"/>
        <w:jc w:val="left"/>
        <w:rPr>
          <w:rFonts w:hint="eastAsia" w:ascii="宋体" w:hAnsi="宋体" w:eastAsia="宋体" w:cs="宋体"/>
          <w:color w:val="auto"/>
          <w:sz w:val="24"/>
          <w:szCs w:val="24"/>
          <w:lang w:eastAsia="zh-CN"/>
        </w:rPr>
      </w:pPr>
      <w:r>
        <w:rPr>
          <w:rFonts w:hint="eastAsia" w:asciiTheme="minorEastAsia" w:hAnsiTheme="minorEastAsia" w:eastAsiaTheme="minorEastAsia" w:cstheme="minorEastAsia"/>
          <w:color w:val="auto"/>
          <w:sz w:val="24"/>
        </w:rPr>
        <w:t>1.2</w:t>
      </w:r>
      <w:r>
        <w:rPr>
          <w:rFonts w:hint="eastAsia" w:ascii="宋体" w:hAnsi="宋体" w:eastAsia="宋体" w:cs="宋体"/>
          <w:color w:val="auto"/>
          <w:sz w:val="24"/>
          <w:szCs w:val="24"/>
          <w:lang w:val="en-US" w:eastAsia="zh-CN"/>
        </w:rPr>
        <w:t>设备应能在供水管网限定压力值之上进行叠压供水。设备正常运行时,</w:t>
      </w:r>
      <w:r>
        <w:rPr>
          <w:rFonts w:hint="default" w:ascii="宋体" w:hAnsi="宋体" w:eastAsia="宋体" w:cs="宋体"/>
          <w:color w:val="auto"/>
          <w:sz w:val="24"/>
          <w:szCs w:val="24"/>
          <w:lang w:val="en-US" w:eastAsia="zh-CN"/>
        </w:rPr>
        <w:t>其流量、扬程不应低于额定值的95%。</w:t>
      </w:r>
      <w:r>
        <w:rPr>
          <w:rFonts w:hint="eastAsia" w:ascii="宋体" w:hAnsi="宋体" w:eastAsia="宋体" w:cs="宋体"/>
          <w:color w:val="auto"/>
          <w:sz w:val="24"/>
          <w:szCs w:val="24"/>
          <w:lang w:val="en-US" w:eastAsia="zh-CN"/>
        </w:rPr>
        <w:t>当供水管网进水流量不能满足使用要求时,</w:t>
      </w:r>
      <w:r>
        <w:rPr>
          <w:rFonts w:hint="default" w:ascii="宋体" w:hAnsi="宋体" w:eastAsia="宋体" w:cs="宋体"/>
          <w:color w:val="auto"/>
          <w:sz w:val="24"/>
          <w:szCs w:val="24"/>
          <w:lang w:val="en-US" w:eastAsia="zh-CN"/>
        </w:rPr>
        <w:t>稳流补偿罐中的储备水可以补充到用户管网系统。稳流补偿罐</w:t>
      </w:r>
      <w:r>
        <w:rPr>
          <w:rFonts w:hint="eastAsia" w:ascii="宋体" w:hAnsi="宋体" w:eastAsia="宋体" w:cs="宋体"/>
          <w:color w:val="auto"/>
          <w:sz w:val="24"/>
          <w:szCs w:val="24"/>
          <w:lang w:val="en-US" w:eastAsia="zh-CN"/>
        </w:rPr>
        <w:t>按设计要求选型。</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1.3设备必须独立设置，不得与消防、热水、直饮水等设施混用。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1.4</w:t>
      </w:r>
      <w:r>
        <w:rPr>
          <w:rFonts w:hint="eastAsia" w:asciiTheme="minorEastAsia" w:hAnsiTheme="minorEastAsia" w:eastAsiaTheme="minorEastAsia" w:cstheme="minorEastAsia"/>
          <w:color w:val="auto"/>
          <w:sz w:val="24"/>
        </w:rPr>
        <w:t>设备环境温度：</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40</w:t>
      </w:r>
      <w:r>
        <w:rPr>
          <w:rFonts w:hint="eastAsia" w:asciiTheme="minorEastAsia" w:hAnsiTheme="minorEastAsia" w:eastAsiaTheme="minorEastAsia" w:cstheme="minorEastAsia"/>
          <w:color w:val="auto"/>
          <w:sz w:val="24"/>
        </w:rPr>
        <w:t>℃，若超出此范围必须采取相应措施；相对湿度：不大于90%</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20摄氏度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；供电频率:50×(1±0.</w:t>
      </w:r>
      <w:r>
        <w:rPr>
          <w:rFonts w:hint="default" w:asciiTheme="minorEastAsia" w:hAnsiTheme="minorEastAsia" w:eastAsiaTheme="minorEastAsia" w:cstheme="minorEastAsia"/>
          <w:color w:val="auto"/>
          <w:sz w:val="24"/>
          <w:lang w:val="en-US" w:eastAsia="zh-CN"/>
        </w:rPr>
        <w:t>05)Hz</w:t>
      </w:r>
      <w:r>
        <w:rPr>
          <w:rFonts w:hint="eastAsia" w:asciiTheme="minorEastAsia" w:hAnsiTheme="minorEastAsia" w:eastAsiaTheme="minorEastAsia" w:cstheme="minorEastAsia"/>
          <w:color w:val="auto"/>
          <w:sz w:val="24"/>
          <w:lang w:val="en-US" w:eastAsia="zh-CN"/>
        </w:rPr>
        <w:t xml:space="preserve"> ；供电电源：三相五线，380V±38V。</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rPr>
      </w:pP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lang w:val="en-US"/>
        </w:rPr>
        <w:t>设备安装地点无导电或爆炸性尘埃，无腐蚀金属或破坏绝缘的气体或蒸汽及其他介质；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2.设备基本要求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rPr>
      </w:pPr>
      <w:r>
        <w:rPr>
          <w:rFonts w:hint="eastAsia" w:asciiTheme="minorEastAsia" w:hAnsiTheme="minorEastAsia" w:eastAsiaTheme="minorEastAsia" w:cstheme="minorEastAsia"/>
          <w:color w:val="auto"/>
          <w:sz w:val="24"/>
          <w:lang w:val="en-US" w:eastAsia="zh-CN"/>
        </w:rPr>
        <w:t>2.1设备应按设备图样及技术文件制造</w:t>
      </w:r>
      <w:r>
        <w:rPr>
          <w:rFonts w:hint="default" w:asciiTheme="minorEastAsia" w:hAnsiTheme="minorEastAsia" w:eastAsiaTheme="minorEastAsia" w:cstheme="minorEastAsia"/>
          <w:color w:val="auto"/>
          <w:sz w:val="24"/>
          <w:lang w:val="en-US" w:eastAsia="zh-CN"/>
        </w:rPr>
        <w:t xml:space="preserve">。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rPr>
      </w:pPr>
      <w:r>
        <w:rPr>
          <w:rFonts w:hint="eastAsia" w:asciiTheme="minorEastAsia" w:hAnsiTheme="minorEastAsia" w:eastAsiaTheme="minorEastAsia" w:cstheme="minorEastAsia"/>
          <w:color w:val="auto"/>
          <w:sz w:val="24"/>
          <w:lang w:val="en-US" w:eastAsia="zh-CN"/>
        </w:rPr>
        <w:t>2.2</w:t>
      </w:r>
      <w:r>
        <w:rPr>
          <w:rFonts w:hint="default" w:asciiTheme="minorEastAsia" w:hAnsiTheme="minorEastAsia" w:eastAsiaTheme="minorEastAsia" w:cstheme="minorEastAsia"/>
          <w:color w:val="auto"/>
          <w:sz w:val="24"/>
          <w:lang w:val="en-US" w:eastAsia="zh-CN"/>
        </w:rPr>
        <w:t xml:space="preserve"> 设备整体布局及部件安装位置应合理,便于安装、操作、调试和维修。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rPr>
      </w:pPr>
      <w:r>
        <w:rPr>
          <w:rFonts w:hint="eastAsia" w:asciiTheme="minorEastAsia" w:hAnsiTheme="minorEastAsia" w:eastAsiaTheme="minorEastAsia" w:cstheme="minorEastAsia"/>
          <w:color w:val="auto"/>
          <w:sz w:val="24"/>
          <w:lang w:val="en-US" w:eastAsia="zh-CN"/>
        </w:rPr>
        <w:t>2.3</w:t>
      </w:r>
      <w:r>
        <w:rPr>
          <w:rFonts w:hint="default" w:asciiTheme="minorEastAsia" w:hAnsiTheme="minorEastAsia" w:eastAsiaTheme="minorEastAsia" w:cstheme="minorEastAsia"/>
          <w:color w:val="auto"/>
          <w:sz w:val="24"/>
          <w:lang w:val="en-US" w:eastAsia="zh-CN"/>
        </w:rPr>
        <w:t xml:space="preserve">设备配套使用的仪表,其类型、量程、精度应满足使用要求,产品应有产品合格证。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rPr>
      </w:pPr>
      <w:r>
        <w:rPr>
          <w:rFonts w:hint="eastAsia" w:asciiTheme="minorEastAsia" w:hAnsiTheme="minorEastAsia" w:eastAsiaTheme="minorEastAsia" w:cstheme="minorEastAsia"/>
          <w:color w:val="auto"/>
          <w:sz w:val="24"/>
          <w:lang w:val="en-US" w:eastAsia="zh-CN"/>
        </w:rPr>
        <w:t>2.4</w:t>
      </w:r>
      <w:r>
        <w:rPr>
          <w:rFonts w:hint="default" w:asciiTheme="minorEastAsia" w:hAnsiTheme="minorEastAsia" w:eastAsiaTheme="minorEastAsia" w:cstheme="minorEastAsia"/>
          <w:color w:val="auto"/>
          <w:sz w:val="24"/>
          <w:lang w:val="en-US" w:eastAsia="zh-CN"/>
        </w:rPr>
        <w:t xml:space="preserve">设备配套使用的水泵、阀门、管件的耐压等级和密封性能应满足使用要求,配套使用的产品应有产品合格证,阀门及其活动部件动作应灵活、可靠。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2.5设备表面应平整、</w:t>
      </w:r>
      <w:r>
        <w:rPr>
          <w:rFonts w:hint="default" w:asciiTheme="minorEastAsia" w:hAnsiTheme="minorEastAsia" w:eastAsiaTheme="minorEastAsia" w:cstheme="minorEastAsia"/>
          <w:color w:val="auto"/>
          <w:sz w:val="24"/>
          <w:lang w:val="en-US" w:eastAsia="zh-CN"/>
        </w:rPr>
        <w:t xml:space="preserve">匀称,不应有明显的划伤、凹陷、局部变形等缺陷。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2.6</w:t>
      </w:r>
      <w:r>
        <w:rPr>
          <w:rFonts w:hint="default" w:asciiTheme="minorEastAsia" w:hAnsiTheme="minorEastAsia" w:eastAsiaTheme="minorEastAsia" w:cstheme="minorEastAsia"/>
          <w:color w:val="auto"/>
          <w:sz w:val="24"/>
          <w:lang w:val="en-US" w:eastAsia="zh-CN"/>
        </w:rPr>
        <w:t xml:space="preserve">设备表面涂层的颜色应均匀,不应有明显的脱漆、起泡、剥离、裂纹、流痕等缺陷。管路布置应合理、美观、检修方便,易于操作。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2.7</w:t>
      </w:r>
      <w:r>
        <w:rPr>
          <w:rFonts w:hint="default" w:asciiTheme="minorEastAsia" w:hAnsiTheme="minorEastAsia" w:eastAsiaTheme="minorEastAsia" w:cstheme="minorEastAsia"/>
          <w:color w:val="auto"/>
          <w:sz w:val="24"/>
          <w:lang w:val="en-US" w:eastAsia="zh-CN"/>
        </w:rPr>
        <w:t xml:space="preserve">设备焊接处的焊缝应均匀、牢固,不应有气孔、夹渣、裂纹或烧穿等缺陷。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2.8 </w:t>
      </w:r>
      <w:r>
        <w:rPr>
          <w:rFonts w:hint="default" w:asciiTheme="minorEastAsia" w:hAnsiTheme="minorEastAsia" w:eastAsiaTheme="minorEastAsia" w:cstheme="minorEastAsia"/>
          <w:color w:val="auto"/>
          <w:sz w:val="24"/>
          <w:lang w:val="en-US" w:eastAsia="zh-CN"/>
        </w:rPr>
        <w:t xml:space="preserve">部件间采用螺栓连接时,应牢固、可靠。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2.9</w:t>
      </w:r>
      <w:r>
        <w:rPr>
          <w:rFonts w:hint="default" w:asciiTheme="minorEastAsia" w:hAnsiTheme="minorEastAsia" w:eastAsiaTheme="minorEastAsia" w:cstheme="minorEastAsia"/>
          <w:color w:val="auto"/>
          <w:sz w:val="24"/>
          <w:lang w:val="en-US" w:eastAsia="zh-CN"/>
        </w:rPr>
        <w:t>设备应有牢固吊环。设备应安装牢固,</w:t>
      </w:r>
      <w:r>
        <w:rPr>
          <w:rFonts w:hint="eastAsia" w:asciiTheme="minorEastAsia" w:hAnsiTheme="minorEastAsia" w:eastAsiaTheme="minorEastAsia" w:cstheme="minorEastAsia"/>
          <w:color w:val="auto"/>
          <w:sz w:val="24"/>
          <w:lang w:val="en-US" w:eastAsia="zh-CN"/>
        </w:rPr>
        <w:t>应</w:t>
      </w:r>
      <w:r>
        <w:rPr>
          <w:rFonts w:hint="default" w:asciiTheme="minorEastAsia" w:hAnsiTheme="minorEastAsia" w:eastAsiaTheme="minorEastAsia" w:cstheme="minorEastAsia"/>
          <w:color w:val="auto"/>
          <w:sz w:val="24"/>
          <w:lang w:val="en-US" w:eastAsia="zh-CN"/>
        </w:rPr>
        <w:t>有电机转向、水流流向、电气安全标识,</w:t>
      </w:r>
      <w:r>
        <w:rPr>
          <w:rFonts w:hint="eastAsia" w:asciiTheme="minorEastAsia" w:hAnsiTheme="minorEastAsia" w:eastAsiaTheme="minorEastAsia" w:cstheme="minorEastAsia"/>
          <w:color w:val="auto"/>
          <w:sz w:val="24"/>
          <w:lang w:val="en-US" w:eastAsia="zh-CN"/>
        </w:rPr>
        <w:t>应</w:t>
      </w:r>
      <w:r>
        <w:rPr>
          <w:rFonts w:hint="default" w:asciiTheme="minorEastAsia" w:hAnsiTheme="minorEastAsia" w:eastAsiaTheme="minorEastAsia" w:cstheme="minorEastAsia"/>
          <w:color w:val="auto"/>
          <w:sz w:val="24"/>
          <w:lang w:val="en-US" w:eastAsia="zh-CN"/>
        </w:rPr>
        <w:t>有区分性、使用性提示标识或挂牌</w:t>
      </w:r>
      <w:r>
        <w:rPr>
          <w:rFonts w:hint="eastAsia" w:asciiTheme="minorEastAsia" w:hAnsiTheme="minorEastAsia" w:eastAsiaTheme="minorEastAsia" w:cstheme="minorEastAsia"/>
          <w:color w:val="auto"/>
          <w:sz w:val="24"/>
          <w:lang w:val="en-US" w:eastAsia="zh-CN"/>
        </w:rPr>
        <w:t>。</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2.10设备与饮用水接触表面应保证外观良好，光滑平整。</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2.11</w:t>
      </w:r>
      <w:r>
        <w:rPr>
          <w:rFonts w:hint="eastAsia" w:ascii="宋体" w:hAnsi="宋体" w:eastAsia="宋体" w:cs="宋体"/>
          <w:color w:val="auto"/>
          <w:sz w:val="24"/>
          <w:szCs w:val="24"/>
          <w:lang w:val="en-US" w:eastAsia="zh-CN"/>
        </w:rPr>
        <w:t xml:space="preserve">设备在1.5 </w:t>
      </w:r>
      <w:r>
        <w:rPr>
          <w:rFonts w:hint="default" w:ascii="宋体" w:hAnsi="宋体" w:eastAsia="宋体" w:cs="宋体"/>
          <w:color w:val="auto"/>
          <w:sz w:val="24"/>
          <w:szCs w:val="24"/>
          <w:lang w:val="en-US" w:eastAsia="zh-CN"/>
        </w:rPr>
        <w:t>倍设计压力下保压 30 min应无变形或损坏,在1.1倍设计压力下保压 30 min应无渗漏</w:t>
      </w:r>
      <w:r>
        <w:rPr>
          <w:rFonts w:hint="eastAsia" w:ascii="宋体" w:hAnsi="宋体" w:cs="宋体"/>
          <w:color w:val="auto"/>
          <w:sz w:val="24"/>
          <w:szCs w:val="24"/>
          <w:lang w:val="en-US" w:eastAsia="zh-CN"/>
        </w:rPr>
        <w:t>。</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2.12</w:t>
      </w:r>
      <w:r>
        <w:rPr>
          <w:rFonts w:hint="eastAsia" w:asciiTheme="minorEastAsia" w:hAnsiTheme="minorEastAsia" w:eastAsiaTheme="minorEastAsia" w:cstheme="minorEastAsia"/>
          <w:color w:val="auto"/>
          <w:sz w:val="24"/>
        </w:rPr>
        <w:t>为保证二次供水水质安全，设备的水泵、稳流补偿器、真空抑制器、管道、阀门及法兰等涉水部件部件全部应采用SUS食品级304不锈钢材质,</w:t>
      </w:r>
      <w:r>
        <w:rPr>
          <w:rFonts w:hint="eastAsia" w:asciiTheme="minorEastAsia" w:hAnsiTheme="minorEastAsia" w:eastAsiaTheme="minorEastAsia" w:cstheme="minorEastAsia"/>
          <w:color w:val="auto"/>
          <w:sz w:val="24"/>
          <w:lang w:val="en-US" w:eastAsia="zh-CN"/>
        </w:rPr>
        <w:t>可曲挠采用橡胶材质可曲挠，</w:t>
      </w:r>
      <w:r>
        <w:rPr>
          <w:rFonts w:hint="eastAsia" w:asciiTheme="minorEastAsia" w:hAnsiTheme="minorEastAsia" w:eastAsiaTheme="minorEastAsia" w:cstheme="minorEastAsia"/>
          <w:color w:val="auto"/>
          <w:sz w:val="24"/>
        </w:rPr>
        <w:t>并提供设备的省级卫生部门颁发的卫生许可批件。</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2.13</w:t>
      </w:r>
      <w:r>
        <w:rPr>
          <w:rFonts w:hint="eastAsia" w:asciiTheme="minorEastAsia" w:hAnsiTheme="minorEastAsia" w:eastAsiaTheme="minorEastAsia" w:cstheme="minorEastAsia"/>
          <w:color w:val="auto"/>
          <w:sz w:val="24"/>
        </w:rPr>
        <w:t>设备为全密闭、无污染，输送的水不与其它介质接触的功能，应符合GB/T26003-2010标准。</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3.供水设备系统功能要求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3.1泵组轮换功能</w:t>
      </w:r>
    </w:p>
    <w:p>
      <w:pPr>
        <w:keepNext w:val="0"/>
        <w:keepLines w:val="0"/>
        <w:widowControl/>
        <w:suppressLineNumbers w:val="0"/>
        <w:ind w:firstLine="480" w:firstLineChars="200"/>
        <w:jc w:val="left"/>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所有水泵都能通过控制系统切换实现变频控制运行；各水泵应具备自动切换运行（工作泵、工作泵与备用泵能轮换运行，且先启先停）。</w:t>
      </w:r>
      <w:r>
        <w:rPr>
          <w:rFonts w:hint="eastAsia" w:asciiTheme="minorEastAsia" w:hAnsiTheme="minorEastAsia" w:eastAsiaTheme="minorEastAsia" w:cstheme="minorEastAsia"/>
          <w:color w:val="auto"/>
          <w:sz w:val="24"/>
          <w:lang w:val="en-US" w:eastAsia="zh-CN"/>
        </w:rPr>
        <w:t xml:space="preserve"> </w:t>
      </w:r>
      <w:r>
        <w:rPr>
          <w:rFonts w:hint="default" w:asciiTheme="minorEastAsia" w:hAnsiTheme="minorEastAsia" w:eastAsiaTheme="minorEastAsia" w:cstheme="minorEastAsia"/>
          <w:color w:val="auto"/>
          <w:sz w:val="24"/>
          <w:lang w:val="en-US" w:eastAsia="zh-CN"/>
        </w:rPr>
        <w:t>水泵自动切换运行</w:t>
      </w:r>
      <w:r>
        <w:rPr>
          <w:rFonts w:hint="eastAsia" w:asciiTheme="minorEastAsia" w:hAnsiTheme="minorEastAsia" w:eastAsiaTheme="minorEastAsia" w:cstheme="minorEastAsia"/>
          <w:color w:val="auto"/>
          <w:sz w:val="24"/>
          <w:lang w:val="en-US" w:eastAsia="zh-CN"/>
        </w:rPr>
        <w:t>时</w:t>
      </w:r>
      <w:r>
        <w:rPr>
          <w:rFonts w:hint="default" w:asciiTheme="minorEastAsia" w:hAnsiTheme="minorEastAsia" w:eastAsiaTheme="minorEastAsia" w:cstheme="minorEastAsia"/>
          <w:color w:val="auto"/>
          <w:sz w:val="24"/>
          <w:lang w:val="en-US" w:eastAsia="zh-CN"/>
        </w:rPr>
        <w:t>,切换时间不应超过10s;当工作泵出现故障时,备用泵应能在5s之内自动投入运行。</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9" w:name="_Toc14207748"/>
      <w:r>
        <w:rPr>
          <w:rFonts w:hint="eastAsia" w:asciiTheme="minorEastAsia" w:hAnsiTheme="minorEastAsia" w:eastAsiaTheme="minorEastAsia" w:cstheme="minorEastAsia"/>
          <w:color w:val="auto"/>
          <w:sz w:val="24"/>
        </w:rPr>
        <w:t>3.2设备功能</w:t>
      </w:r>
      <w:bookmarkEnd w:id="9"/>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应具有市政自来水管网停水，设备自动停机；当市政自来水管网恢复供水，设备自动恢复供水功能。设备需具有独立的稳流补偿装置保护市政管网压力不受压力波动影响，即保障市政管网压力始终维持在当地市政管理部门所规定的最低服务压力之上，</w:t>
      </w:r>
      <w:r>
        <w:rPr>
          <w:rFonts w:hint="eastAsia" w:asciiTheme="minorEastAsia" w:hAnsiTheme="minorEastAsia" w:eastAsiaTheme="minorEastAsia" w:cstheme="minorEastAsia"/>
          <w:color w:val="auto"/>
          <w:sz w:val="24"/>
          <w:lang w:val="en-US" w:eastAsia="zh-CN"/>
        </w:rPr>
        <w:t>加压泵启停时进口压力瞬时降低或增加值控制在0.2MPA以内</w:t>
      </w:r>
      <w:r>
        <w:rPr>
          <w:rFonts w:hint="eastAsia" w:asciiTheme="minorEastAsia" w:hAnsiTheme="minorEastAsia" w:eastAsiaTheme="minorEastAsia" w:cstheme="minorEastAsia"/>
          <w:color w:val="auto"/>
          <w:sz w:val="24"/>
        </w:rPr>
        <w:t>。</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具有根据用户用水量变化而实现供水压力恒定功能，压力控制精度为正负0.01MPa，设备具有禁止抽吸市政管网功能，设备具有自动休眠、自动轮换水泵、小流量停机保压、无水停机保护、超压保护、自动补偿、水淹报警、防水锤等功能。</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3.3为保证设备可靠运行，设备的PLC可编程控制器宜采用冗余控制系统的方案，具有信息双向备份功能，当主系统故障时，辅助系统可投入使用，保证供水稳定。采用梯形图作为编程语言并配套I/O模块、通迅模块。</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0" w:name="_Toc14207749"/>
      <w:r>
        <w:rPr>
          <w:rFonts w:hint="eastAsia" w:asciiTheme="minorEastAsia" w:hAnsiTheme="minorEastAsia" w:eastAsiaTheme="minorEastAsia" w:cstheme="minorEastAsia"/>
          <w:color w:val="auto"/>
          <w:sz w:val="24"/>
        </w:rPr>
        <w:t>3.4差量补偿功能</w:t>
      </w:r>
      <w:bookmarkEnd w:id="10"/>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当供水管网进水流量不能满足使用要求时,</w:t>
      </w:r>
      <w:r>
        <w:rPr>
          <w:rFonts w:hint="default" w:asciiTheme="minorEastAsia" w:hAnsiTheme="minorEastAsia" w:eastAsiaTheme="minorEastAsia" w:cstheme="minorEastAsia"/>
          <w:color w:val="auto"/>
          <w:sz w:val="24"/>
          <w:lang w:val="en-US" w:eastAsia="zh-CN"/>
        </w:rPr>
        <w:t>稳流补偿罐中的储备水可以补充到用户管网系统。稳流补偿罐</w:t>
      </w:r>
      <w:r>
        <w:rPr>
          <w:rFonts w:hint="eastAsia" w:asciiTheme="minorEastAsia" w:hAnsiTheme="minorEastAsia" w:eastAsiaTheme="minorEastAsia" w:cstheme="minorEastAsia"/>
          <w:color w:val="auto"/>
          <w:sz w:val="24"/>
          <w:lang w:val="en-US" w:eastAsia="zh-CN"/>
        </w:rPr>
        <w:t>按设计要求选型。</w:t>
      </w:r>
      <w:r>
        <w:rPr>
          <w:rFonts w:hint="eastAsia" w:asciiTheme="minorEastAsia" w:hAnsiTheme="minorEastAsia" w:eastAsiaTheme="minorEastAsia" w:cstheme="minorEastAsia"/>
          <w:color w:val="auto"/>
          <w:sz w:val="24"/>
          <w:lang w:eastAsia="zh-CN"/>
        </w:rPr>
        <w:t>（亦可根据现场实际情况而定）</w:t>
      </w:r>
      <w:r>
        <w:rPr>
          <w:rFonts w:hint="eastAsia" w:asciiTheme="minorEastAsia" w:hAnsiTheme="minorEastAsia" w:eastAsiaTheme="minorEastAsia" w:cstheme="minorEastAsia"/>
          <w:color w:val="auto"/>
          <w:sz w:val="24"/>
        </w:rPr>
        <w:t>，满足用户的高峰用水需求。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1" w:name="_Toc14207750"/>
      <w:r>
        <w:rPr>
          <w:rFonts w:hint="eastAsia" w:asciiTheme="minorEastAsia" w:hAnsiTheme="minorEastAsia" w:eastAsiaTheme="minorEastAsia" w:cstheme="minorEastAsia"/>
          <w:color w:val="auto"/>
          <w:sz w:val="24"/>
        </w:rPr>
        <w:t>3.5小流量保压功能</w:t>
      </w:r>
      <w:bookmarkEnd w:id="11"/>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设备在用水低峰或夜间小流量（用水低于1%设备额定供水流量时），应能自动切换为小流量停泵保压供水的工作状态，即设备应具有小流量停泵保压功能，避免水泵及控制系统频繁启动。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2" w:name="_Toc14207751"/>
      <w:r>
        <w:rPr>
          <w:rFonts w:hint="eastAsia" w:asciiTheme="minorEastAsia" w:hAnsiTheme="minorEastAsia" w:eastAsiaTheme="minorEastAsia" w:cstheme="minorEastAsia"/>
          <w:color w:val="auto"/>
          <w:sz w:val="24"/>
        </w:rPr>
        <w:t>3.6控制变频功能</w:t>
      </w:r>
      <w:bookmarkEnd w:id="12"/>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水设备的变频控制柜应具有手动、自动和远程控制功能，具有远程控制功能和留有通讯接口。采用全变频设计，每台泵配置一台变频器。并且具有过压、欠压、过流、过载、缺相、短路、过热等故障的自动保护功能，对可恢复的故障应能进行消除、恢复正常运行。设定压力与实际压力控制精度小于等于0.01MPa。</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3.7 制造厂家需提供智慧水务监控平台，用于对供水设备的运行监控，在线检测、故障预报警和设备的全生命周期管理。设备运行状态和数据可以上传到指定的智慧型监控平台，实现无人值守泵房的功能，数据上传支持设备厂家和用户两个监控平台。预留电磁流量计、余氯检测仪、浊度分析仪接口。</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3" w:name="_Toc14207752"/>
      <w:r>
        <w:rPr>
          <w:rFonts w:hint="eastAsia" w:asciiTheme="minorEastAsia" w:hAnsiTheme="minorEastAsia" w:eastAsiaTheme="minorEastAsia" w:cstheme="minorEastAsia"/>
          <w:color w:val="auto"/>
          <w:sz w:val="24"/>
        </w:rPr>
        <w:t>3.8“休眠”与“唤醒”功能</w:t>
      </w:r>
      <w:bookmarkEnd w:id="13"/>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当供水管网的压力能满足用户水压时，水泵应延时“休眠”，设备应能自动进入待机状态，当压力下跌到唤醒值时，变频泵自动“唤醒”设备恢复运行。</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4" w:name="_Toc14207753"/>
      <w:r>
        <w:rPr>
          <w:rFonts w:hint="eastAsia" w:asciiTheme="minorEastAsia" w:hAnsiTheme="minorEastAsia" w:eastAsiaTheme="minorEastAsia" w:cstheme="minorEastAsia"/>
          <w:color w:val="auto"/>
          <w:sz w:val="24"/>
        </w:rPr>
        <w:t>3.9控制柜显示功能</w:t>
      </w:r>
      <w:bookmarkEnd w:id="14"/>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供水设备的人机界面采用高性能触摸屏，组态软件实时显示设备的运行动画，参数应有电源电流、电压、水泵停启停状况，频率、进出水压力、故障声光报警等显示功能。</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5" w:name="_Toc14207754"/>
      <w:r>
        <w:rPr>
          <w:rFonts w:hint="eastAsia" w:asciiTheme="minorEastAsia" w:hAnsiTheme="minorEastAsia" w:eastAsiaTheme="minorEastAsia" w:cstheme="minorEastAsia"/>
          <w:color w:val="auto"/>
          <w:sz w:val="24"/>
        </w:rPr>
        <w:t>3.10设备保护功能</w:t>
      </w:r>
      <w:bookmarkEnd w:id="15"/>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设备应设有超压保护功能，应能保证设备在运行过程中出现超压时自动停止运行并报警。设备应有防爆管功能，当供水管网发生爆管卡事件时，设备能够停机保护。设备具有泵房防淹保护报警功能。</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6" w:name="_Toc14207755"/>
      <w:r>
        <w:rPr>
          <w:rFonts w:hint="eastAsia" w:asciiTheme="minorEastAsia" w:hAnsiTheme="minorEastAsia" w:eastAsiaTheme="minorEastAsia" w:cstheme="minorEastAsia"/>
          <w:color w:val="auto"/>
          <w:sz w:val="24"/>
        </w:rPr>
        <w:t>3.11抗干扰功能</w:t>
      </w:r>
      <w:bookmarkEnd w:id="16"/>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设备应具有较强的抗干扰能力，在一定负荷的用电设备干扰下应能稳定正常工作，不应出现压力震荡或停机保护现象。</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7" w:name="_Toc14207756"/>
      <w:r>
        <w:rPr>
          <w:rFonts w:hint="eastAsia" w:asciiTheme="minorEastAsia" w:hAnsiTheme="minorEastAsia" w:eastAsiaTheme="minorEastAsia" w:cstheme="minorEastAsia"/>
          <w:color w:val="auto"/>
          <w:sz w:val="24"/>
        </w:rPr>
        <w:t>3.12多泵并联变频运行功能</w:t>
      </w:r>
      <w:bookmarkEnd w:id="17"/>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水泵应具有良好的变速功能，能与变频器配合保持最佳效率点。多泵并联运行时需保证水泵效率出力一致。</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8" w:name="_Toc14207757"/>
      <w:r>
        <w:rPr>
          <w:rFonts w:hint="eastAsia" w:asciiTheme="minorEastAsia" w:hAnsiTheme="minorEastAsia" w:eastAsiaTheme="minorEastAsia" w:cstheme="minorEastAsia"/>
          <w:color w:val="auto"/>
          <w:sz w:val="24"/>
        </w:rPr>
        <w:t>3.13电压波动适应性</w:t>
      </w:r>
      <w:bookmarkEnd w:id="18"/>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将电源电压分别调到额定电压的90%～110%时，设备应能正常工作。</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19" w:name="_Toc14207758"/>
      <w:r>
        <w:rPr>
          <w:rFonts w:hint="eastAsia" w:asciiTheme="minorEastAsia" w:hAnsiTheme="minorEastAsia" w:eastAsiaTheme="minorEastAsia" w:cstheme="minorEastAsia"/>
          <w:color w:val="auto"/>
          <w:sz w:val="24"/>
        </w:rPr>
        <w:t>3.14控制运行功能</w:t>
      </w:r>
      <w:bookmarkEnd w:id="19"/>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设备应具有自动恒压供水功能，恒压供水时，压力控制误差不应超过±0.01MPa。</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bookmarkStart w:id="20" w:name="_Toc14207759"/>
      <w:r>
        <w:rPr>
          <w:rFonts w:hint="eastAsia" w:asciiTheme="minorEastAsia" w:hAnsiTheme="minorEastAsia" w:eastAsiaTheme="minorEastAsia" w:cstheme="minorEastAsia"/>
          <w:color w:val="auto"/>
          <w:sz w:val="24"/>
        </w:rPr>
        <w:t>4.远程控制系统要求</w:t>
      </w:r>
      <w:bookmarkEnd w:id="20"/>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4.1数据远传采用GPRS、GSM、</w:t>
      </w: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G</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5G)</w:t>
      </w:r>
      <w:r>
        <w:rPr>
          <w:rFonts w:hint="eastAsia" w:asciiTheme="minorEastAsia" w:hAnsiTheme="minorEastAsia" w:eastAsiaTheme="minorEastAsia" w:cstheme="minorEastAsia"/>
          <w:color w:val="auto"/>
          <w:sz w:val="24"/>
        </w:rPr>
        <w:t>、光纤等通信方式，采用硬件接口RS232/485以太网及BA 接口，接口兼容 MODBUS/Profibus 等多种通讯协议由供水企业备选.</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4.2设备的电控柜（箱）应具有向智慧监控云平台提供运行状态信号、运行参数压力、流量、电力能耗和故障信号的功能。设备厂家需提供智慧监控云平台，用于对供水设备的运行监控，在线检测、故障预报警和设备的全生命周期管理数据管理，设备供应商具有完善的售后服务平台，能实现远程售后服务并建立完善的数字档案管理。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三.叠压供水设备组成部分的质量、技术要求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.水泵机组设备的技术要求：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.1水泵结构：</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水泵应为立式多级离心泵，水泵进口和出口成180度，配有电机和机械轴封。所有接触液体的旋转部件应为不锈钢材质。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.2泵座：</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泵座采用铸铁部件，表面</w:t>
      </w:r>
      <w:r>
        <w:rPr>
          <w:rFonts w:hint="eastAsia" w:asciiTheme="minorEastAsia" w:hAnsiTheme="minorEastAsia" w:eastAsiaTheme="minorEastAsia" w:cstheme="minorEastAsia"/>
          <w:color w:val="auto"/>
          <w:sz w:val="24"/>
          <w:lang w:val="en-US" w:eastAsia="zh-CN"/>
        </w:rPr>
        <w:t>宜</w:t>
      </w:r>
      <w:r>
        <w:rPr>
          <w:rFonts w:hint="eastAsia" w:asciiTheme="minorEastAsia" w:hAnsiTheme="minorEastAsia" w:eastAsiaTheme="minorEastAsia" w:cstheme="minorEastAsia"/>
          <w:color w:val="auto"/>
          <w:sz w:val="24"/>
        </w:rPr>
        <w:t>采用静电环氧树脂电泳处理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或</w:t>
      </w:r>
      <w:r>
        <w:rPr>
          <w:rFonts w:hint="eastAsia" w:asciiTheme="minorEastAsia" w:hAnsiTheme="minorEastAsia" w:eastAsiaTheme="minorEastAsia" w:cstheme="minorEastAsia"/>
          <w:color w:val="auto"/>
          <w:sz w:val="24"/>
        </w:rPr>
        <w:t>电镀及喷漆处理。应安有排水装置，进出口</w:t>
      </w:r>
      <w:r>
        <w:rPr>
          <w:rFonts w:hint="eastAsia" w:asciiTheme="minorEastAsia" w:hAnsiTheme="minorEastAsia" w:eastAsiaTheme="minorEastAsia" w:cstheme="minorEastAsia"/>
          <w:color w:val="auto"/>
          <w:sz w:val="24"/>
          <w:lang w:val="en-US" w:eastAsia="zh-CN"/>
        </w:rPr>
        <w:t>为国标</w:t>
      </w:r>
      <w:r>
        <w:rPr>
          <w:rFonts w:hint="eastAsia" w:asciiTheme="minorEastAsia" w:hAnsiTheme="minorEastAsia" w:eastAsiaTheme="minorEastAsia" w:cstheme="minorEastAsia"/>
          <w:color w:val="auto"/>
          <w:sz w:val="24"/>
        </w:rPr>
        <w:t>的圆法兰。</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.3泵头：</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泵头采用</w:t>
      </w:r>
      <w:r>
        <w:rPr>
          <w:rFonts w:hint="eastAsia" w:asciiTheme="minorEastAsia" w:hAnsiTheme="minorEastAsia" w:eastAsiaTheme="minorEastAsia" w:cstheme="minorEastAsia"/>
          <w:color w:val="auto"/>
          <w:sz w:val="24"/>
          <w:lang w:val="en-US" w:eastAsia="zh-CN"/>
        </w:rPr>
        <w:t>304不锈钢材质</w:t>
      </w:r>
      <w:r>
        <w:rPr>
          <w:rFonts w:hint="eastAsia" w:asciiTheme="minorEastAsia" w:hAnsiTheme="minorEastAsia" w:eastAsiaTheme="minorEastAsia" w:cstheme="minorEastAsia"/>
          <w:color w:val="auto"/>
          <w:sz w:val="24"/>
        </w:rPr>
        <w:t>，需安有注水塞及排气螺塞。</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.4叶轮：</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叶轮应为双曲线不锈钢叶轮，叶轮叶片与叶轮盖采用激光满焊接，保证坚实耐用，效率高，稳定性高。</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.5泵轴：</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泵轴应为高强度不锈钢轴，并保证加工精度及轴的刚性。采用进口品牌轴承。</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.6腔体及外套筒：</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腔体及外套筒采用不锈钢材质，密封保证不泄漏。</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.7联轴器：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设备需采用平衡性好的分离式联轴器设计，保证装配无需调整、免维护；</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.8轴封：</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轴封采用集装式快装免维护机械轴封，材质为碳化硅或碳化钨。次级密封为EPDM或氟橡胶，符合DIN24960标准。</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.9水泵试验方法应符合《回转动力泵 水力性能验收试验 1级、2级和3级》GB/T3216-2016中规定要求，验收等级不应低于规定中的2B级标准；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.10水泵测试试验台应符合《回转动力泵 水力性能验收试验1级、2级和3级》GB/T3216-2016中1级精度要求；供水设备其水泵应同时满足以下标准出具的测试报告：GB/T5656-2008《离心泵技术条件（II类）》、供水设备满足GB19762-2007《清水离心泵能效限定值及节能评价值》标准并提供设备的全系列产品的节能认证证书、供水设备中的水泵应满足GB／T29529-2013《泵的噪声测量与评价方法》A级标准。</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 2</w:t>
      </w:r>
      <w:r>
        <w:rPr>
          <w:rFonts w:hint="eastAsia" w:asciiTheme="minorEastAsia" w:hAnsiTheme="minorEastAsia" w:eastAsiaTheme="minorEastAsia" w:cstheme="minorEastAsia"/>
          <w:color w:val="auto"/>
          <w:sz w:val="24"/>
        </w:rPr>
        <w:t>.电机技术要求：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.1水泵配套电机应为全封闭、风冷鼠笼式电机。电机应为进口或国内知名品牌，电机功率应保证水泵在整个曲线范围内不会过载，每小时最少可启动20次，并应满足频繁启停的要求。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.2电动机的定子线圈要求采用高强度聚酯漆包圆铜线绕制，经VPI真空压力浸漆处理，绕组及绝缘要具有良好电气、机械、防潮性能及热稳定性。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.3电机应采用2极（2900rpm）转速电机。</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.4</w:t>
      </w:r>
      <w:r>
        <w:rPr>
          <w:rFonts w:hint="default" w:asciiTheme="minorEastAsia" w:hAnsiTheme="minorEastAsia" w:eastAsiaTheme="minorEastAsia" w:cstheme="minorEastAsia"/>
          <w:color w:val="auto"/>
          <w:sz w:val="24"/>
        </w:rPr>
        <w:t>所配电机能效符合GB18613-2020国家Ⅲ级能效标准</w:t>
      </w:r>
      <w:r>
        <w:rPr>
          <w:rFonts w:hint="eastAsia" w:asciiTheme="minorEastAsia" w:hAnsiTheme="minorEastAsia" w:eastAsiaTheme="minorEastAsia" w:cstheme="minorEastAsia"/>
          <w:color w:val="auto"/>
          <w:sz w:val="24"/>
        </w:rPr>
        <w:t>。</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.5电机的防护等级不低于IP55，电机的绝缘等级不低于F级。</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.6电动机冷却方式选用自动循环通风。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.7电动机定、转子冲片要求采用高导磁、低损耗优质电工硅钢片。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.8采用防潮、防腐蚀符合国家防潮标准。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.9电动机风扇要求采用防静电塑料风扇或钢板焊接风扇。</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.10提供水泵和泵组为节能型产品，符合CQC设备节能认证规则及认证规范，设备制造商投标货物所有水泵实际效率要高于GB 19762-2007中的泵目标能效基准值，并提供设备制造商生产的供水设备全系列产品的节能认证证书</w:t>
      </w:r>
      <w:r>
        <w:rPr>
          <w:rFonts w:hint="eastAsia" w:asciiTheme="minorEastAsia" w:hAnsiTheme="minorEastAsia" w:eastAsiaTheme="minorEastAsia" w:cstheme="minorEastAsia"/>
          <w:color w:val="auto"/>
          <w:sz w:val="24"/>
          <w:lang w:eastAsia="zh-CN"/>
        </w:rPr>
        <w:t>复印件（加盖公章）</w:t>
      </w:r>
      <w:r>
        <w:rPr>
          <w:rFonts w:hint="eastAsia" w:asciiTheme="minorEastAsia" w:hAnsiTheme="minorEastAsia" w:eastAsiaTheme="minorEastAsia" w:cstheme="minorEastAsia"/>
          <w:color w:val="auto"/>
          <w:sz w:val="24"/>
        </w:rPr>
        <w:t>。</w:t>
      </w:r>
    </w:p>
    <w:p>
      <w:pPr>
        <w:keepNext w:val="0"/>
        <w:keepLines w:val="0"/>
        <w:widowControl/>
        <w:suppressLineNumbers w:val="0"/>
        <w:ind w:left="0" w:leftChars="0" w:firstLine="420" w:firstLineChars="175"/>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 3</w:t>
      </w:r>
      <w:r>
        <w:rPr>
          <w:rFonts w:hint="eastAsia" w:asciiTheme="minorEastAsia" w:hAnsiTheme="minorEastAsia" w:eastAsiaTheme="minorEastAsia" w:cstheme="minorEastAsia"/>
          <w:color w:val="auto"/>
          <w:sz w:val="24"/>
        </w:rPr>
        <w:t>.稳流补偿器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en-US" w:eastAsia="zh-CN"/>
        </w:rPr>
        <w:t>叠</w:t>
      </w:r>
      <w:r>
        <w:rPr>
          <w:rFonts w:hint="eastAsia" w:asciiTheme="minorEastAsia" w:hAnsiTheme="minorEastAsia" w:eastAsiaTheme="minorEastAsia" w:cstheme="minorEastAsia"/>
          <w:color w:val="auto"/>
          <w:sz w:val="24"/>
        </w:rPr>
        <w:t>压供水设备应具有稳流补偿功能，可实现市政进水负压保护、压力补偿、出水端稳压功能，能消除进水压力波动对水压稳定性的影响，保证供水安全稳定。</w:t>
      </w:r>
    </w:p>
    <w:p>
      <w:pPr>
        <w:keepNext w:val="0"/>
        <w:keepLines w:val="0"/>
        <w:widowControl/>
        <w:suppressLineNumbers w:val="0"/>
        <w:ind w:left="0" w:leftChars="0" w:firstLine="420" w:firstLineChars="175"/>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.1稳流补偿器是连接在市政给水管网或有压管网与水泵进水口之间，消除负压影响，实现稳流和调节流量的密闭装置。</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.2稳流补偿器的设计压力不应低于直接串接的市政给水管网或有压管网的最大给水压力。</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.3市政管网给水量在短时（或瞬时）小于设备额定供水流量时，稳流补偿器应能起到调节流量差额的作用，稳流补偿器调节容积应满足供水调峰要求。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.4稳流补偿器底部应设泄水装置，顶部应设吊耳。</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.5稳流补偿器应按照GB150的规定进行设计和制造，筒体及封头厚度应按GB150的规定进行计算，但公称厚度不得小于4mm，且封头尺寸应符合JB/T4746的要求。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6稳流补偿器的承压焊缝，应采用氩弧焊和自动电弧焊。焊丝应符合YB/T5092的要求。焊接时采用惰性气体保护，焊缝高度不小于母材厚度。焊缝与母材应当圆滑过渡，便面不得有裂纹、未焊透、未熔合、咬边、表面气孔、弧坑、未填满和肉眼可见的夹渣等缺陷。</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.7耐压强度 设备在承受1.5倍</w:t>
      </w:r>
      <w:r>
        <w:rPr>
          <w:rFonts w:hint="eastAsia" w:asciiTheme="minorEastAsia" w:hAnsiTheme="minorEastAsia" w:eastAsiaTheme="minorEastAsia" w:cstheme="minorEastAsia"/>
          <w:color w:val="auto"/>
          <w:sz w:val="24"/>
          <w:lang w:eastAsia="zh-CN"/>
        </w:rPr>
        <w:t>工作</w:t>
      </w:r>
      <w:r>
        <w:rPr>
          <w:rFonts w:hint="eastAsia" w:asciiTheme="minorEastAsia" w:hAnsiTheme="minorEastAsia" w:eastAsiaTheme="minorEastAsia" w:cstheme="minorEastAsia"/>
          <w:color w:val="auto"/>
          <w:sz w:val="24"/>
        </w:rPr>
        <w:t>压力</w:t>
      </w:r>
      <w:r>
        <w:rPr>
          <w:rFonts w:hint="eastAsia" w:asciiTheme="minorEastAsia" w:hAnsiTheme="minorEastAsia" w:eastAsiaTheme="minorEastAsia" w:cstheme="minorEastAsia"/>
          <w:color w:val="auto"/>
          <w:sz w:val="24"/>
          <w:lang w:eastAsia="zh-CN"/>
        </w:rPr>
        <w:t>且不低于</w:t>
      </w:r>
      <w:r>
        <w:rPr>
          <w:rFonts w:hint="eastAsia" w:asciiTheme="minorEastAsia" w:hAnsiTheme="minorEastAsia" w:eastAsiaTheme="minorEastAsia" w:cstheme="minorEastAsia"/>
          <w:color w:val="auto"/>
          <w:sz w:val="24"/>
          <w:lang w:val="en-US" w:eastAsia="zh-CN"/>
        </w:rPr>
        <w:t>0.6MPA压力</w:t>
      </w:r>
      <w:r>
        <w:rPr>
          <w:rFonts w:hint="eastAsia" w:asciiTheme="minorEastAsia" w:hAnsiTheme="minorEastAsia" w:eastAsiaTheme="minorEastAsia" w:cstheme="minorEastAsia"/>
          <w:color w:val="auto"/>
          <w:sz w:val="24"/>
        </w:rPr>
        <w:t>下，保压</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0min应</w:t>
      </w:r>
      <w:r>
        <w:rPr>
          <w:rFonts w:hint="eastAsia" w:asciiTheme="minorEastAsia" w:hAnsiTheme="minorEastAsia" w:eastAsiaTheme="minorEastAsia" w:cstheme="minorEastAsia"/>
          <w:color w:val="auto"/>
          <w:sz w:val="24"/>
          <w:lang w:eastAsia="zh-CN"/>
        </w:rPr>
        <w:t>无</w:t>
      </w:r>
      <w:r>
        <w:rPr>
          <w:rFonts w:hint="eastAsia" w:asciiTheme="minorEastAsia" w:hAnsiTheme="minorEastAsia" w:eastAsiaTheme="minorEastAsia" w:cstheme="minorEastAsia"/>
          <w:color w:val="auto"/>
          <w:sz w:val="24"/>
        </w:rPr>
        <w:t>变形、开裂或损坏。</w:t>
      </w:r>
      <w:r>
        <w:rPr>
          <w:rFonts w:hint="eastAsia" w:asciiTheme="minorEastAsia" w:hAnsiTheme="minorEastAsia" w:eastAsiaTheme="minorEastAsia" w:cstheme="minorEastAsia"/>
          <w:color w:val="auto"/>
          <w:sz w:val="24"/>
          <w:lang w:eastAsia="zh-CN"/>
        </w:rPr>
        <w:t>在</w:t>
      </w:r>
      <w:r>
        <w:rPr>
          <w:rFonts w:hint="eastAsia" w:asciiTheme="minorEastAsia" w:hAnsiTheme="minorEastAsia" w:eastAsiaTheme="minorEastAsia" w:cstheme="minorEastAsia"/>
          <w:color w:val="auto"/>
          <w:sz w:val="24"/>
          <w:lang w:val="en-US" w:eastAsia="zh-CN"/>
        </w:rPr>
        <w:t>1.1倍工作压力下，</w:t>
      </w:r>
      <w:r>
        <w:rPr>
          <w:rFonts w:hint="eastAsia" w:asciiTheme="minorEastAsia" w:hAnsiTheme="minorEastAsia" w:eastAsiaTheme="minorEastAsia" w:cstheme="minorEastAsia"/>
          <w:color w:val="auto"/>
          <w:sz w:val="24"/>
        </w:rPr>
        <w:t>保压</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0min应无渗漏</w:t>
      </w:r>
      <w:r>
        <w:rPr>
          <w:rFonts w:hint="eastAsia" w:asciiTheme="minorEastAsia" w:hAnsiTheme="minorEastAsia" w:eastAsiaTheme="minorEastAsia" w:cstheme="minorEastAsia"/>
          <w:color w:val="auto"/>
          <w:sz w:val="24"/>
          <w:lang w:val="en-US" w:eastAsia="zh-CN"/>
        </w:rPr>
        <w:t>。</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.8稳流补偿器采用SUS食品级304不锈钢材质，符合饮用水标准。</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.真空抑制器</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.1真空抑制器按接口法兰尺寸分为DN150、DN200和DN300三种规格，并与稳流补偿器配套选用。选用时应符合GB/T24912-2015《罐式叠压供水设备》的要求。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.2真空抑制器应具有防御性负压抑制功能，保护市政管网压力，使设备在运行时更加安全稳定。</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.3真空抑制器采用SUS食品级304不锈钢材质，符合饮用水标准。</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.设备电气性能</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.1电气控制柜采用全封闭，防尘设计，防护等级IP54，确保控制系统稳定运行。柜体采用框架式结构，框架壁厚不小于2mm,框体采用磷化底涂处理，表面双层</w:t>
      </w:r>
      <w:r>
        <w:rPr>
          <w:rFonts w:hint="eastAsia" w:asciiTheme="minorEastAsia" w:hAnsiTheme="minorEastAsia" w:eastAsiaTheme="minorEastAsia" w:cstheme="minorEastAsia"/>
          <w:color w:val="auto"/>
          <w:sz w:val="24"/>
          <w:lang w:eastAsia="zh-CN"/>
        </w:rPr>
        <w:t>喷塑</w:t>
      </w:r>
      <w:r>
        <w:rPr>
          <w:rFonts w:hint="eastAsia" w:asciiTheme="minorEastAsia" w:hAnsiTheme="minorEastAsia" w:eastAsiaTheme="minorEastAsia" w:cstheme="minorEastAsia"/>
          <w:color w:val="auto"/>
          <w:sz w:val="24"/>
        </w:rPr>
        <w:t>处理。当变频系统工作时，控制柜有强制通风散热装置。</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.2电控柜、水泵等电气设备应设有规范的标牌，并表明下列内容：生产厂家、注册商标、生产日期、出厂编号。</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.3电气间隙与爬电距离</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控制柜带电电路之间以及带电零部件或接地零部件之间的电气间隙和爬电距离应符合GB/T3797-2005中4.7的要求。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.4绝缘电阻与介电强度</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设备的绝缘电阻及介电强度应符合以下要求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.4.1设备中带电回路之间以及带电回路与大地之间（在该回路不直接接地时）的绝缘电阻应符合GB/T 3797-2005中7.4.1的要求，绝缘电阻按标称电压不低于1000Ω/V；</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.4.2设备的介电性能应符合GB/T 3797-2005 中4.8.2和7.4.2的要求。</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5.5</w:t>
      </w:r>
      <w:r>
        <w:rPr>
          <w:rFonts w:hint="eastAsia" w:asciiTheme="minorEastAsia" w:hAnsiTheme="minorEastAsia" w:eastAsiaTheme="minorEastAsia" w:cstheme="minorEastAsia"/>
          <w:color w:val="auto"/>
          <w:sz w:val="24"/>
        </w:rPr>
        <w:t>安全接地</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控制柜的金属构件应有可靠的接地保护。与接地点相连的保护导线截面，应符合GB/T 3797-2005 中4.10.6表5的要求。与接地点连接的导线应是黄绿双色线。不能明显表明的接地点，应在其附近标注明显地符号。</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主接地点与设备任何有关的、因绝缘损坏可能带电的金属部件之间的电阻不应超过0.1Ω。连接接地线的螺钉和接地点不能作其他用途。</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5.6</w:t>
      </w:r>
      <w:r>
        <w:rPr>
          <w:rFonts w:hint="eastAsia" w:asciiTheme="minorEastAsia" w:hAnsiTheme="minorEastAsia" w:eastAsiaTheme="minorEastAsia" w:cstheme="minorEastAsia"/>
          <w:color w:val="auto"/>
          <w:sz w:val="24"/>
        </w:rPr>
        <w:t>设备的抗干扰能力</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设备应具有较强的抗干扰能力。在距离控制柜1m处，启动容量大于150A的电焊机，设备应能稳定正常工作，不应出现压力震荡或停机保护现象。</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5.7</w:t>
      </w:r>
      <w:r>
        <w:rPr>
          <w:rFonts w:hint="eastAsia" w:asciiTheme="minorEastAsia" w:hAnsiTheme="minorEastAsia" w:eastAsiaTheme="minorEastAsia" w:cstheme="minorEastAsia"/>
          <w:color w:val="auto"/>
          <w:sz w:val="24"/>
        </w:rPr>
        <w:t>变频控制柜中的变频器防护等级不低于IP30</w:t>
      </w:r>
      <w:r>
        <w:rPr>
          <w:rFonts w:hint="eastAsia" w:asciiTheme="minorEastAsia" w:hAnsiTheme="minorEastAsia" w:eastAsiaTheme="minorEastAsia" w:cstheme="minorEastAsia"/>
          <w:color w:val="auto"/>
          <w:sz w:val="24"/>
          <w:lang w:eastAsia="zh-CN"/>
        </w:rPr>
        <w:t>，变频器、</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PLC</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主要电气元件</w:t>
      </w:r>
      <w:r>
        <w:rPr>
          <w:rFonts w:hint="eastAsia" w:asciiTheme="minorEastAsia" w:hAnsiTheme="minorEastAsia" w:eastAsiaTheme="minorEastAsia" w:cstheme="minorEastAsia"/>
          <w:color w:val="auto"/>
          <w:sz w:val="24"/>
          <w:lang w:eastAsia="zh-CN"/>
        </w:rPr>
        <w:t>均</w:t>
      </w:r>
      <w:r>
        <w:rPr>
          <w:rFonts w:hint="eastAsia" w:asciiTheme="minorEastAsia" w:hAnsiTheme="minorEastAsia" w:eastAsiaTheme="minorEastAsia" w:cstheme="minorEastAsia"/>
          <w:color w:val="auto"/>
          <w:sz w:val="24"/>
        </w:rPr>
        <w:t>采用</w:t>
      </w:r>
      <w:r>
        <w:rPr>
          <w:rFonts w:hint="eastAsia" w:asciiTheme="minorEastAsia" w:hAnsiTheme="minorEastAsia" w:eastAsiaTheme="minorEastAsia" w:cstheme="minorEastAsia"/>
          <w:color w:val="auto"/>
          <w:sz w:val="24"/>
          <w:lang w:eastAsia="zh-CN"/>
        </w:rPr>
        <w:t>国际知名品牌。</w:t>
      </w:r>
    </w:p>
    <w:p>
      <w:pPr>
        <w:keepNext w:val="0"/>
        <w:keepLines w:val="0"/>
        <w:widowControl/>
        <w:numPr>
          <w:ilvl w:val="0"/>
          <w:numId w:val="1"/>
        </w:numPr>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其他</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设备供货范围:稳流补偿器进水口的法兰带螺栓到水泵出水总管两侧法兰带螺栓，包括稳流补偿器进水口前自来水管道的蝶阀、过滤器、负压表、出水管路上的蝶阀，压力传感器、控制面板及有关控制元器件。</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投标人的人员、技术力量配备必须达到规范及业主的要求，且满足施工现场的需要；投标方必须严格保证产品质量，确保产品达到招标方要求。</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在供货时，附有正规的质量保证书、产品合格证及检测报告，并向投标方交付相关资料和工具。</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如检测出产品存在质量问题，或未能满足此技术要求，将对材料进行退货，并追究责任。</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5.产品的质保期应满足招标单位提出的要求，且不低于行业同类产品的质保年限。</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6.其他未尽事宜按照设计要求或国标、行标要求。</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lang w:val="en-US" w:eastAsia="zh-CN"/>
        </w:rPr>
      </w:pP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auto"/>
          <w:sz w:val="24"/>
          <w:lang w:val="en-US" w:eastAsia="zh-CN"/>
        </w:rPr>
      </w:pPr>
    </w:p>
    <w:p>
      <w:pPr>
        <w:keepNext w:val="0"/>
        <w:keepLines w:val="0"/>
        <w:widowControl/>
        <w:numPr>
          <w:ilvl w:val="0"/>
          <w:numId w:val="0"/>
        </w:numPr>
        <w:suppressLineNumbers w:val="0"/>
        <w:ind w:firstLine="7440" w:firstLineChars="31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技术管理部</w:t>
      </w:r>
    </w:p>
    <w:p>
      <w:pPr>
        <w:keepNext w:val="0"/>
        <w:keepLines w:val="0"/>
        <w:widowControl/>
        <w:numPr>
          <w:ilvl w:val="0"/>
          <w:numId w:val="0"/>
        </w:numPr>
        <w:suppressLineNumbers w:val="0"/>
        <w:ind w:firstLine="7440" w:firstLineChars="3100"/>
        <w:jc w:val="left"/>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2023.7.18</w:t>
      </w:r>
      <w:bookmarkStart w:id="21" w:name="_GoBack"/>
      <w:bookmarkEnd w:id="21"/>
    </w:p>
    <w:sectPr>
      <w:footerReference r:id="rId3" w:type="default"/>
      <w:pgSz w:w="11906" w:h="16838"/>
      <w:pgMar w:top="1100" w:right="1080" w:bottom="110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4434"/>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81709"/>
    <w:multiLevelType w:val="singleLevel"/>
    <w:tmpl w:val="B288170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JkMzRjNGIwYTkyOWZlMDNmMzAyOTUzNTNiOTBkN2MifQ=="/>
  </w:docVars>
  <w:rsids>
    <w:rsidRoot w:val="00F55E4C"/>
    <w:rsid w:val="00002608"/>
    <w:rsid w:val="00014E4D"/>
    <w:rsid w:val="00024C8C"/>
    <w:rsid w:val="000302FA"/>
    <w:rsid w:val="00087822"/>
    <w:rsid w:val="000A632C"/>
    <w:rsid w:val="000D35DB"/>
    <w:rsid w:val="0010732D"/>
    <w:rsid w:val="00131B63"/>
    <w:rsid w:val="0019748E"/>
    <w:rsid w:val="001B3F1B"/>
    <w:rsid w:val="001D19A7"/>
    <w:rsid w:val="001F1C76"/>
    <w:rsid w:val="00230A44"/>
    <w:rsid w:val="00235D32"/>
    <w:rsid w:val="0024367F"/>
    <w:rsid w:val="00361781"/>
    <w:rsid w:val="00383093"/>
    <w:rsid w:val="003A6351"/>
    <w:rsid w:val="003B698D"/>
    <w:rsid w:val="0046407D"/>
    <w:rsid w:val="0047627C"/>
    <w:rsid w:val="00480C64"/>
    <w:rsid w:val="004B333E"/>
    <w:rsid w:val="00511F20"/>
    <w:rsid w:val="00527FE3"/>
    <w:rsid w:val="005335D5"/>
    <w:rsid w:val="005467D3"/>
    <w:rsid w:val="005D63A9"/>
    <w:rsid w:val="005D7BDB"/>
    <w:rsid w:val="006223BE"/>
    <w:rsid w:val="006249AE"/>
    <w:rsid w:val="00637433"/>
    <w:rsid w:val="006421B2"/>
    <w:rsid w:val="006B041A"/>
    <w:rsid w:val="006C1959"/>
    <w:rsid w:val="006D353D"/>
    <w:rsid w:val="00741706"/>
    <w:rsid w:val="00753AC1"/>
    <w:rsid w:val="007F2355"/>
    <w:rsid w:val="008454D5"/>
    <w:rsid w:val="008801D9"/>
    <w:rsid w:val="008A4161"/>
    <w:rsid w:val="008E2397"/>
    <w:rsid w:val="00902281"/>
    <w:rsid w:val="009217DD"/>
    <w:rsid w:val="00927D6F"/>
    <w:rsid w:val="00943DEF"/>
    <w:rsid w:val="00981B22"/>
    <w:rsid w:val="009F7047"/>
    <w:rsid w:val="00A05A7B"/>
    <w:rsid w:val="00A13617"/>
    <w:rsid w:val="00A2174F"/>
    <w:rsid w:val="00A37743"/>
    <w:rsid w:val="00A47FDC"/>
    <w:rsid w:val="00A61F8B"/>
    <w:rsid w:val="00A62CF0"/>
    <w:rsid w:val="00A82704"/>
    <w:rsid w:val="00AC7F56"/>
    <w:rsid w:val="00AF457D"/>
    <w:rsid w:val="00B063E1"/>
    <w:rsid w:val="00B1199A"/>
    <w:rsid w:val="00B14D60"/>
    <w:rsid w:val="00B30D76"/>
    <w:rsid w:val="00B453BA"/>
    <w:rsid w:val="00B91F49"/>
    <w:rsid w:val="00BA3562"/>
    <w:rsid w:val="00C01235"/>
    <w:rsid w:val="00C9290F"/>
    <w:rsid w:val="00C93E24"/>
    <w:rsid w:val="00CD29CA"/>
    <w:rsid w:val="00CF6A7C"/>
    <w:rsid w:val="00D07E00"/>
    <w:rsid w:val="00D22F49"/>
    <w:rsid w:val="00D33EA0"/>
    <w:rsid w:val="00DE5E12"/>
    <w:rsid w:val="00E80674"/>
    <w:rsid w:val="00F00713"/>
    <w:rsid w:val="00F02CA3"/>
    <w:rsid w:val="00F55E4C"/>
    <w:rsid w:val="00FA04CF"/>
    <w:rsid w:val="00FB0E51"/>
    <w:rsid w:val="00FB7BA2"/>
    <w:rsid w:val="00FC0AC3"/>
    <w:rsid w:val="00FD2F31"/>
    <w:rsid w:val="00FD3F4A"/>
    <w:rsid w:val="00FE46C2"/>
    <w:rsid w:val="00FE63B8"/>
    <w:rsid w:val="00FE69AA"/>
    <w:rsid w:val="02427C2B"/>
    <w:rsid w:val="029C79B6"/>
    <w:rsid w:val="06DF100D"/>
    <w:rsid w:val="09E25264"/>
    <w:rsid w:val="0B5234AA"/>
    <w:rsid w:val="0BEA3D7F"/>
    <w:rsid w:val="0D2F4FAD"/>
    <w:rsid w:val="0FB6703B"/>
    <w:rsid w:val="134B3739"/>
    <w:rsid w:val="136347DA"/>
    <w:rsid w:val="1AFB49F2"/>
    <w:rsid w:val="1B273475"/>
    <w:rsid w:val="215F29B4"/>
    <w:rsid w:val="25D07C22"/>
    <w:rsid w:val="2DAC4176"/>
    <w:rsid w:val="2E69749A"/>
    <w:rsid w:val="33737592"/>
    <w:rsid w:val="35820C61"/>
    <w:rsid w:val="3C4B6354"/>
    <w:rsid w:val="3D65345E"/>
    <w:rsid w:val="3F5B57F7"/>
    <w:rsid w:val="3FD76770"/>
    <w:rsid w:val="424A2973"/>
    <w:rsid w:val="44CA52B0"/>
    <w:rsid w:val="471F0950"/>
    <w:rsid w:val="4ADE2090"/>
    <w:rsid w:val="4FC500A9"/>
    <w:rsid w:val="544D291C"/>
    <w:rsid w:val="56290E58"/>
    <w:rsid w:val="5BEF01C0"/>
    <w:rsid w:val="5C114272"/>
    <w:rsid w:val="5C117D2B"/>
    <w:rsid w:val="602F75B5"/>
    <w:rsid w:val="611851A1"/>
    <w:rsid w:val="61CD6DD5"/>
    <w:rsid w:val="68525A1F"/>
    <w:rsid w:val="687C1459"/>
    <w:rsid w:val="69BF04FC"/>
    <w:rsid w:val="6A825C39"/>
    <w:rsid w:val="709F2001"/>
    <w:rsid w:val="70D84C48"/>
    <w:rsid w:val="74D80B53"/>
    <w:rsid w:val="77A93922"/>
    <w:rsid w:val="78AB4244"/>
    <w:rsid w:val="79C07807"/>
    <w:rsid w:val="7AC63DC6"/>
    <w:rsid w:val="7E8D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qFormat/>
    <w:uiPriority w:val="0"/>
    <w:pPr>
      <w:spacing w:after="120"/>
    </w:pPr>
  </w:style>
  <w:style w:type="paragraph" w:styleId="4">
    <w:name w:val="Balloon Text"/>
    <w:basedOn w:val="1"/>
    <w:link w:val="20"/>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0"/>
    <w:pPr>
      <w:spacing w:before="240" w:after="60"/>
      <w:jc w:val="center"/>
      <w:outlineLvl w:val="0"/>
    </w:pPr>
    <w:rPr>
      <w:rFonts w:ascii="Cambria" w:hAnsi="Cambria"/>
      <w:b/>
      <w:bCs/>
      <w:sz w:val="32"/>
      <w:szCs w:val="32"/>
    </w:rPr>
  </w:style>
  <w:style w:type="paragraph" w:styleId="8">
    <w:name w:val="annotation subject"/>
    <w:basedOn w:val="2"/>
    <w:next w:val="2"/>
    <w:link w:val="19"/>
    <w:unhideWhenUsed/>
    <w:qFormat/>
    <w:uiPriority w:val="99"/>
    <w:rPr>
      <w:b/>
      <w:bCs/>
    </w:rPr>
  </w:style>
  <w:style w:type="paragraph" w:styleId="9">
    <w:name w:val="Body Text First Indent"/>
    <w:basedOn w:val="3"/>
    <w:qFormat/>
    <w:uiPriority w:val="0"/>
    <w:pPr>
      <w:autoSpaceDE w:val="0"/>
      <w:autoSpaceDN w:val="0"/>
      <w:spacing w:before="120"/>
      <w:ind w:firstLine="100" w:firstLineChars="100"/>
      <w:textAlignment w:val="bottom"/>
    </w:pPr>
    <w:rPr>
      <w:rFonts w:eastAsia="仿宋_GB2312"/>
      <w:kern w:val="0"/>
      <w:szCs w:val="20"/>
    </w:rPr>
  </w:style>
  <w:style w:type="character" w:styleId="12">
    <w:name w:val="annotation reference"/>
    <w:basedOn w:val="11"/>
    <w:unhideWhenUsed/>
    <w:qFormat/>
    <w:uiPriority w:val="99"/>
    <w:rPr>
      <w:sz w:val="21"/>
      <w:szCs w:val="21"/>
    </w:rPr>
  </w:style>
  <w:style w:type="character" w:customStyle="1" w:styleId="13">
    <w:name w:val="页眉 Char"/>
    <w:basedOn w:val="11"/>
    <w:link w:val="6"/>
    <w:semiHidden/>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标题 Char"/>
    <w:basedOn w:val="11"/>
    <w:link w:val="7"/>
    <w:qFormat/>
    <w:uiPriority w:val="10"/>
    <w:rPr>
      <w:rFonts w:eastAsia="宋体" w:asciiTheme="majorHAnsi" w:hAnsiTheme="majorHAnsi" w:cstheme="majorBidi"/>
      <w:b/>
      <w:bCs/>
      <w:sz w:val="32"/>
      <w:szCs w:val="32"/>
    </w:rPr>
  </w:style>
  <w:style w:type="paragraph" w:customStyle="1" w:styleId="16">
    <w:name w:val="列出段落1"/>
    <w:basedOn w:val="1"/>
    <w:qFormat/>
    <w:uiPriority w:val="99"/>
    <w:pPr>
      <w:ind w:firstLine="420" w:firstLineChars="200"/>
    </w:pPr>
    <w:rPr>
      <w:rFonts w:ascii="Calibri" w:hAnsi="Calibri"/>
      <w:szCs w:val="22"/>
    </w:rPr>
  </w:style>
  <w:style w:type="character" w:customStyle="1" w:styleId="17">
    <w:name w:val="标题 Char1"/>
    <w:basedOn w:val="11"/>
    <w:link w:val="7"/>
    <w:qFormat/>
    <w:locked/>
    <w:uiPriority w:val="0"/>
    <w:rPr>
      <w:rFonts w:ascii="Cambria" w:hAnsi="Cambria" w:eastAsia="宋体" w:cs="Times New Roman"/>
      <w:b/>
      <w:bCs/>
      <w:sz w:val="32"/>
      <w:szCs w:val="32"/>
    </w:rPr>
  </w:style>
  <w:style w:type="character" w:customStyle="1" w:styleId="18">
    <w:name w:val="批注文字 Char"/>
    <w:basedOn w:val="11"/>
    <w:link w:val="2"/>
    <w:semiHidden/>
    <w:qFormat/>
    <w:uiPriority w:val="99"/>
    <w:rPr>
      <w:rFonts w:ascii="Times New Roman" w:hAnsi="Times New Roman" w:eastAsia="宋体" w:cs="Times New Roman"/>
      <w:szCs w:val="24"/>
    </w:rPr>
  </w:style>
  <w:style w:type="character" w:customStyle="1" w:styleId="19">
    <w:name w:val="批注主题 Char"/>
    <w:basedOn w:val="18"/>
    <w:link w:val="8"/>
    <w:semiHidden/>
    <w:qFormat/>
    <w:uiPriority w:val="99"/>
    <w:rPr>
      <w:b/>
      <w:bCs/>
    </w:rPr>
  </w:style>
  <w:style w:type="character" w:customStyle="1" w:styleId="20">
    <w:name w:val="批注框文本 Char"/>
    <w:basedOn w:val="11"/>
    <w:link w:val="4"/>
    <w:semiHidden/>
    <w:qFormat/>
    <w:uiPriority w:val="99"/>
    <w:rPr>
      <w:rFonts w:ascii="Times New Roman" w:hAnsi="Times New Roman" w:eastAsia="宋体" w:cs="Times New Roman"/>
      <w:sz w:val="18"/>
      <w:szCs w:val="18"/>
    </w:rPr>
  </w:style>
  <w:style w:type="paragraph" w:customStyle="1" w:styleId="21">
    <w:name w:val="列表段落1"/>
    <w:basedOn w:val="1"/>
    <w:qFormat/>
    <w:uiPriority w:val="34"/>
    <w:pPr>
      <w:adjustRightInd w:val="0"/>
      <w:ind w:left="720"/>
      <w:contextualSpacing/>
      <w:textAlignment w:val="baseline"/>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B40296-4196-47DD-B52B-75FF9ED667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5299</Words>
  <Characters>6064</Characters>
  <Lines>46</Lines>
  <Paragraphs>13</Paragraphs>
  <TotalTime>56</TotalTime>
  <ScaleCrop>false</ScaleCrop>
  <LinksUpToDate>false</LinksUpToDate>
  <CharactersWithSpaces>6130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2021-02-05T00:42:00Z</dcterms:created>
  <dc:creator>AutoBVT</dc:creator>
  <cp:lastModifiedBy>Apple</cp:lastModifiedBy>
  <dcterms:modified xsi:type="dcterms:W3CDTF">2023-07-18T08:02:47Z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44F1FB46BDDB475B9492AEF56C5DD1A3</vt:lpwstr>
  </property>
</Properties>
</file>