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Theme="minorEastAsia" w:hAnsiTheme="minorEastAsia" w:eastAsiaTheme="minorEastAsia" w:cstheme="minorEastAsia"/>
          <w:b/>
          <w:bCs/>
          <w:color w:val="000000"/>
          <w:sz w:val="32"/>
          <w:szCs w:val="32"/>
          <w:lang w:val="en-US" w:eastAsia="zh-CN"/>
        </w:rPr>
      </w:pPr>
      <w:r>
        <w:rPr>
          <w:rFonts w:hint="eastAsia" w:asciiTheme="minorEastAsia" w:hAnsiTheme="minorEastAsia" w:eastAsiaTheme="minorEastAsia" w:cstheme="minorEastAsia"/>
          <w:b/>
          <w:bCs/>
          <w:color w:val="000000"/>
          <w:sz w:val="32"/>
          <w:szCs w:val="32"/>
          <w:lang w:val="en-US" w:eastAsia="zh-CN"/>
        </w:rPr>
        <w:t>玻璃纤维增强塑料夹砂管（玻璃钢夹砂管）技术要求</w:t>
      </w:r>
    </w:p>
    <w:p>
      <w:pPr>
        <w:spacing w:line="500" w:lineRule="exact"/>
        <w:jc w:val="left"/>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lang w:val="en-US" w:eastAsia="zh-CN"/>
        </w:rPr>
        <w:t>一.遵循标准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21238-2016《玻璃纤维增强塑料夹砂管》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1447-2005《纤维增强塑料拉伸性能试验方法》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1449-2005《纤维增强塑料弯曲性能试验方法》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1458-2008《纤维缠绕增强塑料环形试样力学性能试验方法》</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br w:type="textWrapping"/>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GB/T 2576-2005《纤维增强塑料树脂不可溶分含量试验方法》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2577-2005《玻璃纤维增强塑料树脂含量试验方法》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3854-2017《增强塑料巴柯尔硬度试验方法》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5349-2005《纤维增强热固性塑料管轴向拉伸性能试验方法》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5351-2005《纤维增强热固性塑料管短时水压失效压力试验方法》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5352-2005《纤维增强热固性塑料管平行板外载性能试验方法》</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highlight w:val="none"/>
          <w:lang w:val="en-US" w:eastAsia="zh-CN"/>
          <w14:textFill>
            <w14:solidFill>
              <w14:schemeClr w14:val="tx1"/>
            </w14:solidFill>
          </w14:textFill>
        </w:rPr>
        <w:t>GB/T 21873-2008《橡胶密封件给排水管及污水管道用接口密封圈材料规范》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18369《玻璃纤维无捻粗纱》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8237-2005《纤维增强塑料用液体不饱和聚酯树脂》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06MS201-2《埋地塑料排水管道施工》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C</w:t>
      </w:r>
      <w:r>
        <w:rPr>
          <w:rFonts w:hint="eastAsia" w:asciiTheme="minorEastAsia" w:hAnsiTheme="minorEastAsia" w:eastAsiaTheme="minorEastAsia" w:cstheme="minorEastAsia"/>
          <w:b w:val="0"/>
          <w:bCs w:val="0"/>
          <w:color w:val="000000"/>
          <w:sz w:val="24"/>
          <w:szCs w:val="24"/>
          <w:lang w:val="en-US" w:eastAsia="zh-CN"/>
        </w:rPr>
        <w:t>ECS 129：2001</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《埋地给水排水玻璃纤维增强热固性树脂夹砂管管道工程施工及验收规程》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不注日期的标准文件，其最新版本适用于本次技术要求标准。</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二.技术要求</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1.原材料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1.1增强材料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应采用无碱玻璃纤维及其制品制造玻璃纤维增强塑料夹砂管。所采用的无碱无捻玻璃纤维纱应符合GB/T18369的规定，无碱玻璃纤维制品应符合相应的国家或行业标准的规定。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1.2树脂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所采用的不饱和聚酯树脂应符合GB/T8237的规定。其他树脂应符合相应的国家或行业标准的规定。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内衬层树脂应采用间苯型不饱和聚酯树脂、双酚A型不饱和聚酯树脂或乙烯基酯树脂。</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1.3填料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填料的最大粒径不准许大于2.5mm和五分之一管壁厚度之间的较小值。其中石英砂的SiO</w:t>
      </w:r>
      <w:r>
        <w:rPr>
          <w:rFonts w:hint="eastAsia" w:asciiTheme="minorEastAsia" w:hAnsiTheme="minorEastAsia" w:eastAsiaTheme="minorEastAsia" w:cstheme="minorEastAsia"/>
          <w:b w:val="0"/>
          <w:bCs w:val="0"/>
          <w:color w:val="000000" w:themeColor="text1"/>
          <w:sz w:val="24"/>
          <w:szCs w:val="24"/>
          <w:vertAlign w:val="subscript"/>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含量应大于95%，含水量应不大于0.2%，碳酸钙的CaCO</w:t>
      </w:r>
      <w:r>
        <w:rPr>
          <w:rFonts w:hint="eastAsia" w:asciiTheme="minorEastAsia" w:hAnsiTheme="minorEastAsia" w:eastAsiaTheme="minorEastAsia" w:cstheme="minorEastAsia"/>
          <w:b w:val="0"/>
          <w:bCs w:val="0"/>
          <w:color w:val="000000" w:themeColor="text1"/>
          <w:sz w:val="24"/>
          <w:szCs w:val="24"/>
          <w:vertAlign w:val="subscript"/>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含量应大于98%，含水量应大于0.2%。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2.要求</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2.1外观质量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管材的内表面应光滑平整，无对使用性能有影响的龟裂、分层、针孔、杂质、贫胶区、气泡和纤维浸润不良等现象；管端面应平齐；边棱应无毛刺；外表面无明显缺陷。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2.2尺寸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2.2.1管材的公称直径为100-4000mm。</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2.2.2 长度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jc w:val="left"/>
        <w:textAlignment w:val="auto"/>
        <w:outlineLvl w:val="9"/>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管材的有效长度为3m，4m，5m，6m，9m，10m，12m，18m，如果需要特殊长度的管，在供货时由供需双方共同商定。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jc w:val="left"/>
        <w:textAlignment w:val="auto"/>
        <w:outlineLvl w:val="9"/>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管材的长度偏差:有效长度的</w:t>
      </w:r>
      <w:r>
        <w:rPr>
          <w:rFonts w:hint="default" w:ascii="Times New Roman" w:hAnsi="Times New Roman" w:eastAsia="微软雅黑"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0.5%,且不超过</w:t>
      </w:r>
      <w:r>
        <w:rPr>
          <w:rFonts w:hint="default" w:ascii="Times New Roman" w:hAnsi="Times New Roman" w:eastAsia="微软雅黑" w:cs="Times New Roman"/>
          <w:b w:val="0"/>
          <w:bCs w:val="0"/>
          <w:color w:val="000000" w:themeColor="text1"/>
          <w:sz w:val="24"/>
          <w:szCs w:val="24"/>
          <w:lang w:val="en-US" w:eastAsia="zh-CN"/>
          <w14:textFill>
            <w14:solidFill>
              <w14:schemeClr w14:val="tx1"/>
            </w14:solidFill>
          </w14:textFill>
        </w:rPr>
        <w:t>±</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60mm。</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2.2.3 管壁厚度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任一截面的管壁平均厚度应不小于设计算度，最小管壁厚度应不小于设计厚度的90%。当管壁设计厚度不大于20mm时,管壁平均厚度应不大 1.15t，当管壁设计厚度大于20 mm 时,管壁平均厚度应不大于（t+3）mm。（注:t为管壁设计厚度,由管材生产企业通过设计确定,并在技术文件中给出。）</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2.2.4内衬层厚度应不小于1.2mm。</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2.2.5管端面垂直度符合下表规定。</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43"/>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公称直径DN（mm）</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管端面垂直度偏差（mm）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DN</w:t>
            </w:r>
            <w:r>
              <w:rPr>
                <w:rFonts w:hint="default" w:ascii="Times New Roman" w:hAnsi="Times New Roman" w:eastAsia="微软雅黑" w:cs="Times New Roman"/>
                <w:b w:val="0"/>
                <w:bCs w:val="0"/>
                <w:color w:val="000000" w:themeColor="text1"/>
                <w:sz w:val="24"/>
                <w:szCs w:val="24"/>
                <w:lang w:val="en-US" w:eastAsia="zh-CN"/>
                <w14:textFill>
                  <w14:solidFill>
                    <w14:schemeClr w14:val="tx1"/>
                  </w14:solidFill>
                </w14:textFill>
              </w:rPr>
              <w:t>&lt;600</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eastAsia"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600≤</w:t>
            </w: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DN</w:t>
            </w:r>
            <w:r>
              <w:rPr>
                <w:rFonts w:hint="default" w:ascii="Times New Roman" w:hAnsi="Times New Roman" w:eastAsia="微软雅黑" w:cs="Times New Roman"/>
                <w:b w:val="0"/>
                <w:bCs w:val="0"/>
                <w:color w:val="000000" w:themeColor="text1"/>
                <w:sz w:val="24"/>
                <w:szCs w:val="24"/>
                <w:lang w:val="en-US" w:eastAsia="zh-CN"/>
                <w14:textFill>
                  <w14:solidFill>
                    <w14:schemeClr w14:val="tx1"/>
                  </w14:solidFill>
                </w14:textFill>
              </w:rPr>
              <w:t>&lt;1000</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eastAsia"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43"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lang w:val="en-US" w:eastAsia="zh-CN"/>
                <w14:textFill>
                  <w14:solidFill>
                    <w14:schemeClr w14:val="tx1"/>
                  </w14:solidFill>
                </w14:textFill>
              </w:rPr>
              <w:t>DN</w:t>
            </w:r>
            <w:r>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≥1000</w:t>
            </w:r>
          </w:p>
        </w:tc>
        <w:tc>
          <w:tcPr>
            <w:tcW w:w="2982"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pPr>
            <w:r>
              <w:rPr>
                <w:rFonts w:hint="eastAsia"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8</w:t>
            </w: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2.3管材外表面的巴柯尔硬度应不小于40。</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2.4管壁中树脂的不可溶分含量应不小于 90%。</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2.5 直管段管壁组分质量百分含量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直管段管壁中玻璃纤维、树脂和填料的含量由管材设计确定，并应在技术文件中明确给出。各组分的质量百分含量允许偏差为±3。</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 初始力学性能</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2.6.1 初始环刚度应不小于相应的环刚度等级值。</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2.6.2 初始环向拉伸强力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管壁的初始环向控伸强力应根据工程设计来确定。但其最小值按照GB/T21238-2016中6.6.2部分来确定。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2.6.3 初始轴向拉伸强力及拉伸断裂应变按照GB/T21238-2016中6.6.3部分来确定。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2.6.4初始挠曲性按照GB/T21238-2016中6.6.5部分来确定。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2.6.5初始环向弯曲强度按照GB/T21238-2016中6.6.6部分来确定。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2.6.6水压渗漏</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对整管或带有接头连接好的整管施加该管压力体级1.5倍的水内压，保持2</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0min</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w:t>
      </w:r>
      <w:r>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管体及连接部位应不渗漏。</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2.7长期性能按照GB/T21238-2016中6.7部分来确定。</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2.8管材的环刚度一般为1.25-10KN/m</w:t>
      </w:r>
      <w:r>
        <w:rPr>
          <w:rFonts w:hint="eastAsia" w:asciiTheme="minorEastAsia" w:hAnsiTheme="minorEastAsia" w:eastAsiaTheme="minorEastAsia" w:cstheme="minorEastAsia"/>
          <w:b w:val="0"/>
          <w:bCs w:val="0"/>
          <w:color w:val="000000" w:themeColor="text1"/>
          <w:sz w:val="24"/>
          <w:szCs w:val="24"/>
          <w:vertAlign w:val="superscript"/>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，具体以设计要求为准。</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标志、贮存、出厂证明书和技术文件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3.1标志</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480" w:firstLineChars="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每根玻璃纤维增强塑料夹砂管至少应在一处做上耐久标志。标志不应损伤管壁,在正常装卸和安装中字迹仍应保持清楚。标志应包括:生产厂名称(或商标); 产品标记;批号及产品编号; 生产日期。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3.2贮存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3.2.1 玻璃纤维增强塑料夹砂管应按类型、规格、等级分类堆放。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3.2.2 堆放场地应平整。管的叠层堆放应满足下表的要求。堆放处应远离热源,不宜长期露天存放。</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7"/>
        <w:gridCol w:w="709"/>
        <w:gridCol w:w="815"/>
        <w:gridCol w:w="736"/>
        <w:gridCol w:w="725"/>
        <w:gridCol w:w="750"/>
        <w:gridCol w:w="1250"/>
        <w:gridCol w:w="1287"/>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公称直径（mm）</w:t>
            </w:r>
          </w:p>
        </w:tc>
        <w:tc>
          <w:tcPr>
            <w:tcW w:w="7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200</w:t>
            </w:r>
          </w:p>
        </w:tc>
        <w:tc>
          <w:tcPr>
            <w:tcW w:w="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250</w:t>
            </w:r>
          </w:p>
        </w:tc>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300</w:t>
            </w:r>
          </w:p>
        </w:tc>
        <w:tc>
          <w:tcPr>
            <w:tcW w:w="7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400</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500</w:t>
            </w: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600-700</w:t>
            </w:r>
          </w:p>
        </w:tc>
        <w:tc>
          <w:tcPr>
            <w:tcW w:w="12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800-1200</w:t>
            </w: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default"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w:t>
            </w:r>
            <w:r>
              <w:rPr>
                <w:rFonts w:hint="eastAsia" w:ascii="Times New Roman" w:hAnsi="Times New Roman" w:cs="Times New Roman" w:eastAsiaTheme="minorEastAsia"/>
                <w:b w:val="0"/>
                <w:bCs w:val="0"/>
                <w:color w:val="000000" w:themeColor="text1"/>
                <w:sz w:val="24"/>
                <w:szCs w:val="24"/>
                <w:vertAlign w:val="baseline"/>
                <w:lang w:val="en-US" w:eastAsia="zh-CN"/>
                <w14:textFill>
                  <w14:solidFill>
                    <w14:schemeClr w14:val="tx1"/>
                  </w14:solidFill>
                </w14:textFill>
              </w:rPr>
              <w:t>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2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最大层数</w:t>
            </w:r>
          </w:p>
        </w:tc>
        <w:tc>
          <w:tcPr>
            <w:tcW w:w="70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8</w:t>
            </w:r>
          </w:p>
        </w:tc>
        <w:tc>
          <w:tcPr>
            <w:tcW w:w="8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7</w:t>
            </w:r>
          </w:p>
        </w:tc>
        <w:tc>
          <w:tcPr>
            <w:tcW w:w="73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6</w:t>
            </w:r>
          </w:p>
        </w:tc>
        <w:tc>
          <w:tcPr>
            <w:tcW w:w="72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5</w:t>
            </w:r>
          </w:p>
        </w:tc>
        <w:tc>
          <w:tcPr>
            <w:tcW w:w="7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4</w:t>
            </w:r>
          </w:p>
        </w:tc>
        <w:tc>
          <w:tcPr>
            <w:tcW w:w="125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3</w:t>
            </w:r>
          </w:p>
        </w:tc>
        <w:tc>
          <w:tcPr>
            <w:tcW w:w="1287"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2</w:t>
            </w:r>
          </w:p>
        </w:tc>
        <w:tc>
          <w:tcPr>
            <w:tcW w:w="103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outlineLvl w:val="9"/>
              <w:rPr>
                <w:rFonts w:hint="default"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vertAlign w:val="baseline"/>
                <w:lang w:val="en-US" w:eastAsia="zh-CN"/>
                <w14:textFill>
                  <w14:solidFill>
                    <w14:schemeClr w14:val="tx1"/>
                  </w14:solidFill>
                </w14:textFill>
              </w:rPr>
              <w:t>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3.2.3管材堆放时应设置管座,层与层之间应用垫木隔开。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3.3 出厂证明书和技术文件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3.3.1 每批玻璃纤维增强塑料夹砂管出厂时应附有出厂证明书和技术文件。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3.3.2 出厂证明书应包括:生产厂名称; 产品规格; 生产日期;产品出厂检验证明书。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3.3.3 技术文件至少应包括:规格;制造工艺;采用的主要原材料情况; 管壁设计厚度;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直管段管壁组分含量设计值; 管外形尺寸图。</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其他未尽事宜按照设计要求和</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GB/T 21238-2016《玻璃纤维增强塑料夹砂管》执行。</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其他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5.1管道接口方式以设计为准</w:t>
      </w:r>
      <w:r>
        <w:rPr>
          <w:rFonts w:hint="eastAsia" w:asciiTheme="minorEastAsia" w:hAnsiTheme="minorEastAsia" w:eastAsiaTheme="minorEastAsia" w:cstheme="minorEastAsia"/>
          <w:b w:val="0"/>
          <w:bCs w:val="0"/>
          <w:color w:val="000000"/>
          <w:sz w:val="24"/>
          <w:szCs w:val="24"/>
          <w:lang w:val="en-US" w:eastAsia="zh-CN"/>
        </w:rPr>
        <w:t>。弹</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性密封件采用具有耐酸、碱、污水腐蚀性能的三元乙丙橡胶，其性能除应符合国家标准《橡胶密封件 给排水管及污水管道用接口密封圈 材料规范》GB/T 21873-2008 要求外，还应符合以下要求：邵氏硬度50±5；伸长率≥400%；拉伸强度≥16MPa。</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5.2管材和</w:t>
      </w:r>
      <w:r>
        <w:rPr>
          <w:rFonts w:hint="eastAsia" w:asciiTheme="minorEastAsia" w:hAnsiTheme="minorEastAsia" w:eastAsiaTheme="minorEastAsia" w:cstheme="minorEastAsia"/>
          <w:b w:val="0"/>
          <w:bCs w:val="0"/>
          <w:color w:val="000000"/>
          <w:sz w:val="24"/>
          <w:szCs w:val="24"/>
          <w:lang w:val="en-US" w:eastAsia="zh-CN"/>
        </w:rPr>
        <w:t>弹</w:t>
      </w: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性密封件采用同一厂家产品。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b/>
          <w:bCs/>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4"/>
          <w:szCs w:val="24"/>
          <w:lang w:val="en-US" w:eastAsia="zh-CN"/>
          <w14:textFill>
            <w14:solidFill>
              <w14:schemeClr w14:val="tx1"/>
            </w14:solidFill>
          </w14:textFill>
        </w:rPr>
        <w:t>三．其他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sz w:val="24"/>
          <w:highlight w:val="none"/>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1、玻璃纤维增强塑料夹砂管管材</w:t>
      </w:r>
      <w:r>
        <w:rPr>
          <w:rFonts w:hint="eastAsia" w:asciiTheme="minorEastAsia" w:hAnsiTheme="minorEastAsia" w:eastAsiaTheme="minorEastAsia" w:cstheme="minorEastAsia"/>
          <w:sz w:val="24"/>
          <w:highlight w:val="none"/>
        </w:rPr>
        <w:t>质保期</w:t>
      </w:r>
      <w:r>
        <w:rPr>
          <w:rFonts w:hint="eastAsia" w:asciiTheme="minorEastAsia" w:hAnsiTheme="minorEastAsia" w:eastAsiaTheme="minorEastAsia" w:cstheme="minorEastAsia"/>
          <w:sz w:val="24"/>
          <w:highlight w:val="none"/>
          <w:lang w:val="en-US" w:eastAsia="zh-CN"/>
        </w:rPr>
        <w:t>满足招标单位提出的要求，且不低于行业同类产品的质保年限</w:t>
      </w:r>
      <w:r>
        <w:rPr>
          <w:rFonts w:hint="eastAsia" w:asciiTheme="minorEastAsia" w:hAnsiTheme="minorEastAsia" w:eastAsiaTheme="minorEastAsia" w:cstheme="minorEastAsia"/>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default" w:asciiTheme="minorEastAsia" w:hAnsiTheme="minorEastAsia" w:eastAsiaTheme="minorEastAsia" w:cstheme="minorEastAsia"/>
          <w:sz w:val="24"/>
          <w:highlight w:val="none"/>
          <w:lang w:val="en-US" w:eastAsia="zh-CN"/>
        </w:rPr>
      </w:pPr>
      <w:r>
        <w:rPr>
          <w:rFonts w:hint="eastAsia" w:asciiTheme="minorEastAsia" w:hAnsiTheme="minorEastAsia" w:eastAsiaTheme="minorEastAsia" w:cstheme="minorEastAsia"/>
          <w:sz w:val="24"/>
          <w:highlight w:val="none"/>
          <w:lang w:val="en-US" w:eastAsia="zh-CN"/>
        </w:rPr>
        <w:t>2、其他未尽事宜按照设计要求或国标、行标要求。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7680" w:firstLineChars="3200"/>
        <w:jc w:val="left"/>
        <w:textAlignment w:val="auto"/>
        <w:outlineLvl w:val="9"/>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技术管理部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7920" w:firstLineChars="3300"/>
        <w:jc w:val="left"/>
        <w:textAlignment w:val="auto"/>
        <w:outlineLvl w:val="9"/>
        <w:rPr>
          <w:rFonts w:hint="default"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2023.3.3</w:t>
      </w:r>
    </w:p>
    <w:sectPr>
      <w:headerReference r:id="rId3" w:type="default"/>
      <w:footerReference r:id="rId4" w:type="default"/>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EU-F1">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682DD6"/>
    <w:multiLevelType w:val="singleLevel"/>
    <w:tmpl w:val="C3682DD6"/>
    <w:lvl w:ilvl="0" w:tentative="0">
      <w:start w:val="4"/>
      <w:numFmt w:val="decimal"/>
      <w:suff w:val="nothing"/>
      <w:lvlText w:val="%1、"/>
      <w:lvlJc w:val="left"/>
    </w:lvl>
  </w:abstractNum>
  <w:abstractNum w:abstractNumId="1">
    <w:nsid w:val="0EAB80BF"/>
    <w:multiLevelType w:val="singleLevel"/>
    <w:tmpl w:val="0EAB80BF"/>
    <w:lvl w:ilvl="0" w:tentative="0">
      <w:start w:val="3"/>
      <w:numFmt w:val="decimal"/>
      <w:lvlText w:val="%1."/>
      <w:lvlJc w:val="left"/>
      <w:pPr>
        <w:tabs>
          <w:tab w:val="left" w:pos="312"/>
        </w:tabs>
      </w:pPr>
    </w:lvl>
  </w:abstractNum>
  <w:abstractNum w:abstractNumId="2">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16"/>
      <w:suff w:val="nothing"/>
      <w:lvlText w:val="%1%2　"/>
      <w:lvlJc w:val="left"/>
      <w:pPr>
        <w:ind w:left="147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kMzRjNGIwYTkyOWZlMDNmMzAyOTUzNTNiOTBkN2MifQ=="/>
  </w:docVars>
  <w:rsids>
    <w:rsidRoot w:val="35590840"/>
    <w:rsid w:val="002D70FB"/>
    <w:rsid w:val="00502DC9"/>
    <w:rsid w:val="00937AD7"/>
    <w:rsid w:val="0094108C"/>
    <w:rsid w:val="00CB0B1A"/>
    <w:rsid w:val="00EF6054"/>
    <w:rsid w:val="011773C2"/>
    <w:rsid w:val="02ED01E1"/>
    <w:rsid w:val="03192B60"/>
    <w:rsid w:val="03490CF7"/>
    <w:rsid w:val="040C7CA3"/>
    <w:rsid w:val="041F70CB"/>
    <w:rsid w:val="042D00C3"/>
    <w:rsid w:val="05475CED"/>
    <w:rsid w:val="06666773"/>
    <w:rsid w:val="088F724B"/>
    <w:rsid w:val="0ADD34E8"/>
    <w:rsid w:val="0B841EBE"/>
    <w:rsid w:val="10AA3894"/>
    <w:rsid w:val="10D47CA5"/>
    <w:rsid w:val="10E66766"/>
    <w:rsid w:val="10F37D66"/>
    <w:rsid w:val="113822EE"/>
    <w:rsid w:val="132A6C91"/>
    <w:rsid w:val="135D7C6C"/>
    <w:rsid w:val="14423DE3"/>
    <w:rsid w:val="147D7A78"/>
    <w:rsid w:val="14966963"/>
    <w:rsid w:val="15344DFD"/>
    <w:rsid w:val="15DF7FFA"/>
    <w:rsid w:val="162A72E7"/>
    <w:rsid w:val="165F2A2B"/>
    <w:rsid w:val="178C553A"/>
    <w:rsid w:val="17AB341A"/>
    <w:rsid w:val="17CC67E6"/>
    <w:rsid w:val="1A3878E1"/>
    <w:rsid w:val="1ACE63D1"/>
    <w:rsid w:val="1B884C8D"/>
    <w:rsid w:val="1BF36DFC"/>
    <w:rsid w:val="1CB97484"/>
    <w:rsid w:val="1D186ECF"/>
    <w:rsid w:val="1DF732B8"/>
    <w:rsid w:val="1E7A61E8"/>
    <w:rsid w:val="1F7A7BB9"/>
    <w:rsid w:val="1FED5F53"/>
    <w:rsid w:val="20404157"/>
    <w:rsid w:val="218A07EF"/>
    <w:rsid w:val="21A30DF8"/>
    <w:rsid w:val="229C6C77"/>
    <w:rsid w:val="230E292F"/>
    <w:rsid w:val="232F19D7"/>
    <w:rsid w:val="25B979F7"/>
    <w:rsid w:val="268273E7"/>
    <w:rsid w:val="277C1B6A"/>
    <w:rsid w:val="27AC4587"/>
    <w:rsid w:val="28447153"/>
    <w:rsid w:val="28907962"/>
    <w:rsid w:val="2A9D5AE1"/>
    <w:rsid w:val="2AAF11CD"/>
    <w:rsid w:val="2B1A11DC"/>
    <w:rsid w:val="2B7D4283"/>
    <w:rsid w:val="2BA657C5"/>
    <w:rsid w:val="2DE669DC"/>
    <w:rsid w:val="2F47752A"/>
    <w:rsid w:val="2FF24A1C"/>
    <w:rsid w:val="3053179E"/>
    <w:rsid w:val="311B56E6"/>
    <w:rsid w:val="31647344"/>
    <w:rsid w:val="321B3587"/>
    <w:rsid w:val="323F1AC8"/>
    <w:rsid w:val="32AD35FE"/>
    <w:rsid w:val="32F4019D"/>
    <w:rsid w:val="340E4E6D"/>
    <w:rsid w:val="34FC6A6B"/>
    <w:rsid w:val="35590840"/>
    <w:rsid w:val="36FC58BF"/>
    <w:rsid w:val="38114C61"/>
    <w:rsid w:val="39572A1A"/>
    <w:rsid w:val="3AAE7133"/>
    <w:rsid w:val="3B7C206D"/>
    <w:rsid w:val="3BA86199"/>
    <w:rsid w:val="3C1719A7"/>
    <w:rsid w:val="3DF15DAF"/>
    <w:rsid w:val="3E8F1850"/>
    <w:rsid w:val="3F463D5A"/>
    <w:rsid w:val="3F471133"/>
    <w:rsid w:val="3FEF06B0"/>
    <w:rsid w:val="404D65EE"/>
    <w:rsid w:val="40AB3CA5"/>
    <w:rsid w:val="411962C3"/>
    <w:rsid w:val="413F2F03"/>
    <w:rsid w:val="41BC18D8"/>
    <w:rsid w:val="42602966"/>
    <w:rsid w:val="42B4132B"/>
    <w:rsid w:val="42F340A6"/>
    <w:rsid w:val="43A1661B"/>
    <w:rsid w:val="43BC4F04"/>
    <w:rsid w:val="45B44C78"/>
    <w:rsid w:val="4617120F"/>
    <w:rsid w:val="47592F34"/>
    <w:rsid w:val="47FE407E"/>
    <w:rsid w:val="491450D2"/>
    <w:rsid w:val="495A02AF"/>
    <w:rsid w:val="4A746031"/>
    <w:rsid w:val="4ABB461D"/>
    <w:rsid w:val="4CBA444F"/>
    <w:rsid w:val="4D726118"/>
    <w:rsid w:val="4E0453E4"/>
    <w:rsid w:val="50AA42C7"/>
    <w:rsid w:val="50FD0233"/>
    <w:rsid w:val="529B7253"/>
    <w:rsid w:val="530E3233"/>
    <w:rsid w:val="53450627"/>
    <w:rsid w:val="5461149F"/>
    <w:rsid w:val="58993B1A"/>
    <w:rsid w:val="5969186D"/>
    <w:rsid w:val="59D05796"/>
    <w:rsid w:val="5A0945B7"/>
    <w:rsid w:val="5B6B5DA5"/>
    <w:rsid w:val="5C03403B"/>
    <w:rsid w:val="5D470FAB"/>
    <w:rsid w:val="608738D0"/>
    <w:rsid w:val="60BB0A35"/>
    <w:rsid w:val="60E474D2"/>
    <w:rsid w:val="61074AF0"/>
    <w:rsid w:val="615B02C6"/>
    <w:rsid w:val="61EE1106"/>
    <w:rsid w:val="62674F99"/>
    <w:rsid w:val="63ED4B27"/>
    <w:rsid w:val="645F2357"/>
    <w:rsid w:val="64F8477D"/>
    <w:rsid w:val="65014476"/>
    <w:rsid w:val="65D83093"/>
    <w:rsid w:val="66F82907"/>
    <w:rsid w:val="67E84DD0"/>
    <w:rsid w:val="68F34C47"/>
    <w:rsid w:val="698B2D92"/>
    <w:rsid w:val="698D7BFE"/>
    <w:rsid w:val="6A4E5643"/>
    <w:rsid w:val="6B5169F8"/>
    <w:rsid w:val="6B5C5CEE"/>
    <w:rsid w:val="6B936CF1"/>
    <w:rsid w:val="6BFD57B7"/>
    <w:rsid w:val="6CA00FD6"/>
    <w:rsid w:val="6D7A432B"/>
    <w:rsid w:val="6D7C6B93"/>
    <w:rsid w:val="6DE972E3"/>
    <w:rsid w:val="6FA85423"/>
    <w:rsid w:val="707D2817"/>
    <w:rsid w:val="714A0530"/>
    <w:rsid w:val="7217506B"/>
    <w:rsid w:val="74F715C8"/>
    <w:rsid w:val="75C313A2"/>
    <w:rsid w:val="79080E04"/>
    <w:rsid w:val="7A0450B9"/>
    <w:rsid w:val="7A866222"/>
    <w:rsid w:val="7AD6318A"/>
    <w:rsid w:val="7AFA4A88"/>
    <w:rsid w:val="7B986B73"/>
    <w:rsid w:val="7CC1457E"/>
    <w:rsid w:val="7CC62243"/>
    <w:rsid w:val="7D670DDF"/>
    <w:rsid w:val="7D8738A4"/>
    <w:rsid w:val="7E575843"/>
    <w:rsid w:val="7F1E775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1"/>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2">
    <w:name w:val="Default Paragraph Font"/>
    <w:semiHidden/>
    <w:qFormat/>
    <w:uiPriority w:val="99"/>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pPr>
      <w:widowControl/>
      <w:spacing w:before="180" w:after="180"/>
      <w:jc w:val="left"/>
    </w:pPr>
    <w:rPr>
      <w:kern w:val="0"/>
      <w:sz w:val="24"/>
      <w:szCs w:val="24"/>
      <w:lang w:eastAsia="en-US"/>
    </w:rPr>
  </w:style>
  <w:style w:type="paragraph" w:styleId="4">
    <w:name w:val="Plain Text"/>
    <w:basedOn w:val="1"/>
    <w:unhideWhenUsed/>
    <w:qFormat/>
    <w:uiPriority w:val="99"/>
    <w:rPr>
      <w:rFonts w:ascii="宋体" w:hAnsi="Courier New" w:cs="Courier New"/>
      <w:szCs w:val="21"/>
    </w:rPr>
  </w:style>
  <w:style w:type="paragraph" w:styleId="5">
    <w:name w:val="Balloon Text"/>
    <w:basedOn w:val="1"/>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Body Text 2"/>
    <w:basedOn w:val="1"/>
    <w:unhideWhenUsed/>
    <w:qFormat/>
    <w:uiPriority w:val="99"/>
    <w:rPr>
      <w:sz w:val="28"/>
    </w:rPr>
  </w:style>
  <w:style w:type="paragraph" w:styleId="9">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99"/>
    <w:rPr>
      <w:rFonts w:cs="Times New Roman"/>
      <w:b/>
      <w:bCs/>
    </w:rPr>
  </w:style>
  <w:style w:type="paragraph" w:customStyle="1" w:styleId="14">
    <w:name w:val="Char"/>
    <w:basedOn w:val="1"/>
    <w:semiHidden/>
    <w:qFormat/>
    <w:uiPriority w:val="0"/>
    <w:pPr>
      <w:spacing w:line="360" w:lineRule="auto"/>
      <w:ind w:firstLine="200" w:firstLineChars="200"/>
    </w:pPr>
    <w:rPr>
      <w:rFonts w:ascii="宋体" w:hAnsi="宋体" w:cs="宋体"/>
      <w:sz w:val="24"/>
    </w:rPr>
  </w:style>
  <w:style w:type="paragraph" w:customStyle="1" w:styleId="15">
    <w:name w:val="表头"/>
    <w:basedOn w:val="1"/>
    <w:qFormat/>
    <w:uiPriority w:val="0"/>
    <w:pPr>
      <w:spacing w:before="160" w:after="60" w:line="312" w:lineRule="exact"/>
      <w:jc w:val="center"/>
    </w:pPr>
    <w:rPr>
      <w:rFonts w:ascii="EU-F1" w:eastAsia="黑体"/>
      <w:szCs w:val="21"/>
    </w:rPr>
  </w:style>
  <w:style w:type="paragraph" w:customStyle="1" w:styleId="16">
    <w:name w:val="章标题"/>
    <w:next w:val="17"/>
    <w:qFormat/>
    <w:uiPriority w:val="0"/>
    <w:pPr>
      <w:numPr>
        <w:ilvl w:val="1"/>
        <w:numId w:val="1"/>
      </w:numPr>
      <w:spacing w:before="50" w:beforeLines="50" w:after="50" w:afterLines="50"/>
      <w:jc w:val="both"/>
      <w:outlineLvl w:val="1"/>
    </w:pPr>
    <w:rPr>
      <w:rFonts w:ascii="黑体" w:hAnsi="Times New Roman" w:eastAsia="黑体" w:cs="Times New Roman"/>
      <w:sz w:val="21"/>
      <w:szCs w:val="22"/>
      <w:lang w:val="en-US" w:eastAsia="zh-CN" w:bidi="ar-SA"/>
    </w:rPr>
  </w:style>
  <w:style w:type="paragraph" w:customStyle="1" w:styleId="1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8">
    <w:name w:val="样式2"/>
    <w:basedOn w:val="1"/>
    <w:qFormat/>
    <w:uiPriority w:val="0"/>
    <w:pPr>
      <w:widowControl/>
      <w:spacing w:line="312" w:lineRule="exact"/>
    </w:pPr>
    <w:rPr>
      <w:rFonts w:ascii="EU-F1" w:eastAsia="黑体"/>
      <w:color w:val="000000"/>
      <w:kern w:val="44"/>
      <w:szCs w:val="21"/>
    </w:rPr>
  </w:style>
  <w:style w:type="paragraph" w:customStyle="1" w:styleId="19">
    <w:name w:val="样式 3"/>
    <w:basedOn w:val="1"/>
    <w:semiHidden/>
    <w:qFormat/>
    <w:uiPriority w:val="0"/>
    <w:pPr>
      <w:topLinePunct/>
      <w:ind w:left="840" w:hanging="420"/>
    </w:pPr>
    <w:rPr>
      <w:kern w:val="21"/>
      <w:szCs w:val="21"/>
    </w:rPr>
  </w:style>
  <w:style w:type="paragraph" w:customStyle="1" w:styleId="20">
    <w:name w:val="BodyText"/>
    <w:basedOn w:val="1"/>
    <w:qFormat/>
    <w:uiPriority w:val="0"/>
    <w:pPr>
      <w:widowControl/>
      <w:spacing w:before="180" w:after="180"/>
      <w:jc w:val="left"/>
      <w:textAlignment w:val="baseline"/>
    </w:pPr>
    <w:rPr>
      <w:rFonts w:ascii="Calibri" w:hAnsi="Calibri" w:eastAsia="宋体"/>
      <w:kern w:val="0"/>
      <w:sz w:val="24"/>
      <w:szCs w:val="24"/>
      <w:lang w:eastAsia="en-US" w:bidi="ar-SA"/>
    </w:rPr>
  </w:style>
  <w:style w:type="character" w:customStyle="1" w:styleId="21">
    <w:name w:val="NormalCharacter"/>
    <w:link w:val="1"/>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3</Pages>
  <Words>1884</Words>
  <Characters>2423</Characters>
  <Lines>0</Lines>
  <Paragraphs>0</Paragraphs>
  <TotalTime>6</TotalTime>
  <ScaleCrop>false</ScaleCrop>
  <LinksUpToDate>false</LinksUpToDate>
  <CharactersWithSpaces>2535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2017-07-18T00:20:00Z</dcterms:created>
  <dc:creator>Administrator</dc:creator>
  <cp:lastModifiedBy>Apple</cp:lastModifiedBy>
  <dcterms:modified xsi:type="dcterms:W3CDTF">2023-03-07T06:54:54Z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8290AFEB1F12459E9BF18F941EFA233A</vt:lpwstr>
  </property>
</Properties>
</file>