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水务集团新装、轮换、泵站水表选型</w:t>
      </w:r>
    </w:p>
    <w:p>
      <w:pPr>
        <w:pStyle w:val="2"/>
        <w:jc w:val="center"/>
      </w:pPr>
      <w:r>
        <w:rPr>
          <w:rFonts w:hint="eastAsia"/>
        </w:rPr>
        <w:t>技术要求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按照集团党委指示精神，对我集团新装、轮换水表选型进行统一要求，适合我集团现有表务管理水平，以经济性、适用性、便捷性为原则，结合集团智慧水务发展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需要，特制定新装、轮换水表选型技术要求。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一、</w:t>
      </w:r>
      <w:r>
        <w:rPr>
          <w:rFonts w:hint="eastAsia" w:ascii="仿宋" w:hAnsi="仿宋" w:eastAsia="仿宋" w:cs="仿宋"/>
          <w:sz w:val="32"/>
          <w:szCs w:val="32"/>
        </w:rPr>
        <w:t>居民户表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sz w:val="32"/>
          <w:szCs w:val="32"/>
        </w:rPr>
        <w:t>轮换水表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轮换水表主要以水平旋翼式半液封机械水表为主，配备RFID标签，准确度等级为2级，不可逆流，表壳采用球墨铸铁、机芯高强度工程塑料（ABS）、表玻璃为钢化玻璃。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</w:rPr>
        <w:t>用户发展工程水表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为满足智慧水务要求，实现表务信息化，宜优先选择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超声</w:t>
      </w:r>
      <w:r>
        <w:rPr>
          <w:rFonts w:hint="eastAsia" w:ascii="仿宋" w:hAnsi="仿宋" w:eastAsia="仿宋" w:cs="仿宋"/>
          <w:sz w:val="32"/>
          <w:szCs w:val="32"/>
        </w:rPr>
        <w:t>远传水表。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非居民户水表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sz w:val="32"/>
          <w:szCs w:val="32"/>
        </w:rPr>
        <w:t>DN40及以下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遵循经济适用性原则，宜选择无磁远传水表。基表可选择单向计量，并具备反向报警功能；或者双向计量水表，并且正、反双向必须分别记录。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</w:rPr>
        <w:t>DN50及以上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N50及以上非居民户水表，保障计量准确性、及时性、传输稳定性，适宜选择超声远传水表，准确度等级为1级。基表可选择单向计量，并具备反向报警功能；或者双向计量水表，并且正、反双向必须分别记录。正反双向流准确度均满足1级要求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sz w:val="32"/>
          <w:szCs w:val="32"/>
        </w:rPr>
        <w:t>特业户水表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障计量准确性、及时性、传输稳定性，适宜选择超声或无磁远传水表，准确度等级为1级。基表可选择单向计量，并具备防止逆流或者反向报警功能；或者选择双向计量水表，并且正、反双向必须分别记录，同时正反双向流准确度均满足1级要求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四、</w:t>
      </w:r>
      <w:r>
        <w:rPr>
          <w:rFonts w:hint="eastAsia" w:ascii="仿宋" w:hAnsi="仿宋" w:eastAsia="仿宋" w:cs="仿宋"/>
          <w:sz w:val="32"/>
          <w:szCs w:val="32"/>
        </w:rPr>
        <w:t>特殊需求用户水表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入户难度大、抄表难度大、距离偏远、安装工况复杂等对抄表有特殊需求的户表，可结合使用需求选择阀控、超声、无磁远传水表，以解决数据传输、抄表不及时、自动监控等问题。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五、</w:t>
      </w:r>
      <w:r>
        <w:rPr>
          <w:rFonts w:hint="eastAsia" w:ascii="仿宋" w:hAnsi="仿宋" w:eastAsia="仿宋" w:cs="仿宋"/>
          <w:sz w:val="32"/>
          <w:szCs w:val="32"/>
        </w:rPr>
        <w:t>二次泵站水表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障计量准确性、及时性、传输稳定性，适宜选择超声远传水表，准确度等级为1级。基表可选择单向计量，并具备防止逆流或者反向报警功能；或者选择双向计量水表，并且正、反双向必须分别记录，同时正反双向流准确度均满足1级要求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六、</w:t>
      </w:r>
      <w:r>
        <w:rPr>
          <w:rFonts w:hint="eastAsia" w:ascii="仿宋" w:hAnsi="仿宋" w:eastAsia="仿宋" w:cs="仿宋"/>
          <w:sz w:val="32"/>
          <w:szCs w:val="32"/>
        </w:rPr>
        <w:t>远传统一要求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远传方式应采用如下方式：通信网络覆盖条件好，传输信号强的地区，优先选用NB-IoT远传式；通信网络信号弱，或无NB信号覆盖地区，可采用LORA传输方式，数据采集可采用手持抄表器进行抄表，同时数据加密和通讯协议可兼容NB水表的数据格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远传水表应选择一体式，电源可为市政电源或电池供电。电池采取可更换电池，并且更换简便易于操作，不损坏计量封印。水表具备低电量报警功能，并且报警后至少可持续使用270天。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厂家必须与沈阳本地电信、移动、联通等三家运营商全部合作，数据传输模块经本地电信运营商认可；信号网络深度覆盖（户内、表井环境等均可正常使用）、超低功耗、通讯稳定可靠；NB-IoT物联网水表到平台之间无距离限制。运营商要有网络优化能力，运营商要达到网络正常运行的标准RSRP大于-90dBm，SNR大于0，ECL为0.并保证网络正常通讯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rightChars="0"/>
        <w:jc w:val="center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/>
        </w:rPr>
        <w:t>一、水平旋翼式半液封机械水表技术要求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1、执行标准：水表满足GB／T 778-2018 《饮用冷水水表和热水水表》、CJ 266 《饮用水冷水水表安全规则》、JJG 162 《冷水水表检定规程》、GB/T 17219 《生活饮用水输配水设备及防护材料的安全性评价标准》及一般技术规定条款所列的其它等效标准要求。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2、水表的材料和结构要求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2.1、设计使用寿命：不低于8年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2.1、水表的制造材料的强度和耐用度应满足水表的特定使用要求，具体要求见下表：</w:t>
      </w:r>
    </w:p>
    <w:tbl>
      <w:tblPr>
        <w:tblStyle w:val="11"/>
        <w:tblW w:w="88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4558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06" w:type="dxa"/>
            <w:vAlign w:val="center"/>
          </w:tcPr>
          <w:p>
            <w:pPr>
              <w:pStyle w:val="9"/>
              <w:spacing w:line="360" w:lineRule="auto"/>
              <w:ind w:firstLine="89" w:firstLineChars="37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零件名称</w:t>
            </w:r>
          </w:p>
        </w:tc>
        <w:tc>
          <w:tcPr>
            <w:tcW w:w="4558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材料名称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符合标准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表壳</w:t>
            </w:r>
          </w:p>
        </w:tc>
        <w:tc>
          <w:tcPr>
            <w:tcW w:w="4558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球墨铸铁QT450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GB/T12230标准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表芯主材</w:t>
            </w:r>
          </w:p>
        </w:tc>
        <w:tc>
          <w:tcPr>
            <w:tcW w:w="4558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高强度工程塑料（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ABS）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叶轮主材</w:t>
            </w:r>
          </w:p>
        </w:tc>
        <w:tc>
          <w:tcPr>
            <w:tcW w:w="4558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高强度工程塑料（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ABS）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表罩</w:t>
            </w:r>
          </w:p>
        </w:tc>
        <w:tc>
          <w:tcPr>
            <w:tcW w:w="4558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铸造铅黄铜（ZCuZn40Pb）（红冲）</w:t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或不锈钢材质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GB/T 1176，CJ266-2008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接管、螺母</w:t>
            </w:r>
          </w:p>
        </w:tc>
        <w:tc>
          <w:tcPr>
            <w:tcW w:w="4558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铸造铅黄铜（ZCuZn40Pb）（红冲）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91" w:firstLineChars="38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GB/T 1176，CJ266-2008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字轮、度盘</w:t>
            </w:r>
          </w:p>
        </w:tc>
        <w:tc>
          <w:tcPr>
            <w:tcW w:w="45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增白ABS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叶轮衬套</w:t>
            </w:r>
          </w:p>
        </w:tc>
        <w:tc>
          <w:tcPr>
            <w:tcW w:w="45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刚玉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顶尖轴</w:t>
            </w:r>
          </w:p>
        </w:tc>
        <w:tc>
          <w:tcPr>
            <w:tcW w:w="45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不锈钢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顶尖</w:t>
            </w:r>
          </w:p>
        </w:tc>
        <w:tc>
          <w:tcPr>
            <w:tcW w:w="45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碳纤维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玻璃</w:t>
            </w:r>
          </w:p>
        </w:tc>
        <w:tc>
          <w:tcPr>
            <w:tcW w:w="45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钢化玻璃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水表内外表面防护材料</w:t>
            </w:r>
          </w:p>
        </w:tc>
        <w:tc>
          <w:tcPr>
            <w:tcW w:w="45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环氧树脂粉末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  <w:t>CJ 266-2008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455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配备RFID标签</w:t>
            </w:r>
          </w:p>
        </w:tc>
        <w:tc>
          <w:tcPr>
            <w:tcW w:w="2735" w:type="dxa"/>
            <w:vAlign w:val="center"/>
          </w:tcPr>
          <w:p>
            <w:pPr>
              <w:pStyle w:val="9"/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</w:rPr>
            </w:pPr>
          </w:p>
        </w:tc>
      </w:tr>
    </w:tbl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2.2 水表的制造材料应不受工作温度范围内水温变化的不利影响。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2.3 水表内所有接触水的零部件必须采用无毒、无污染、无生物活性的材料。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2.4 整体水表的制造材料应能抗内、外部腐蚀。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2.5 水表应安装消除冷凝的装置。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2.6 管接头、连接螺母、罩子、表玻璃等承压件的材料要求应符合CJ266-2008《饮用水冷水水表安全规则》标准规定。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2.7控制尺寸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① 表壳、表玻璃、表罩、表接头、连接螺母的控制尺寸应当满足上表及CJ266-2008 标准；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② 经机械加工的水表零件，基线性尺寸的未注公差应符合 GB/T1804-C 级；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③ 螺纹应符合 GB2516、GB7306 和 GB7307 的标准。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2.8 水表(裸表）及相应配件重量应至少达到以下要求：</w:t>
      </w:r>
    </w:p>
    <w:tbl>
      <w:tblPr>
        <w:tblStyle w:val="11"/>
        <w:tblW w:w="84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654"/>
        <w:gridCol w:w="654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裸表重量（KG）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 xml:space="preserve">表壳重量 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机芯重量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表拿子（对）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 xml:space="preserve">表罩重量 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表玻璃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材质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重量（KG）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材质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重量（KG）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材质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重量（KG）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材质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重量（KG）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材质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厚度（mm)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水平旋翼式半液封水表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DN15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球墨铸铁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ABS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0.121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铸造铅黄铜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0.168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铸造铅黄铜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钢化玻璃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DN20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1.35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球墨铸铁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ABS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0.121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铸造铅黄铜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铸造铅黄铜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钢化玻璃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DN25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1.85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球墨铸铁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1.4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ABS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0.143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铸造铅黄铜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铸造铅黄铜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钢化玻璃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DN40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3.9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球墨铸铁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2.61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ABS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铸造铅黄铜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铸造铅黄铜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钢化玻璃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8</w:t>
            </w:r>
          </w:p>
        </w:tc>
      </w:tr>
    </w:tbl>
    <w:p>
      <w:pPr>
        <w:autoSpaceDE w:val="0"/>
        <w:autoSpaceDN w:val="0"/>
        <w:spacing w:line="480" w:lineRule="exact"/>
        <w:ind w:firstLine="56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3、指示装置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3.1 功能</w:t>
      </w:r>
    </w:p>
    <w:p>
      <w:pPr>
        <w:autoSpaceDE w:val="0"/>
        <w:autoSpaceDN w:val="0"/>
        <w:spacing w:line="480" w:lineRule="exact"/>
        <w:ind w:firstLine="538" w:firstLineChars="192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水表的指示装置应提供易读、可靠、明确、直观的指示体积示值。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3.2 测量单位、符号及其位置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指示的水体积应以立方米表示，单位m</w:t>
      </w:r>
      <w:r>
        <w:rPr>
          <w:rFonts w:hint="eastAsia" w:ascii="仿宋" w:hAnsi="仿宋" w:eastAsia="仿宋" w:cs="仿宋"/>
          <w:bCs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应紧接着显示数字标在度盘上。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3.3 指示装置的颜色标志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水表的指示装置为指针、数字组合式；立方米及其倍数用黑色显示，立方米的约数用红色显示；指针、指示标记、数字、字轮、字盘、度盘或开孔框都应使用这两种颜色。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只要能明确区分示值和备用显示(例如用于检定和测试的约数)，也可以采用其他方式显示立方米、立方米的倍数和约数。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、中标单位生产前，需与我集团进行技术交流，待未尽事宜协商确定后方可生产。中标单位需提供总厂所生产的水表（分厂、协作厂家所生产的水表我集团不予以认可）。中标单位需提供100只样表供我集团试用，试用合格后签订水表采购合同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5、技术要求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5.1.水表口径和总尺寸符合GB/T778.1规定，螺纹应符合ISO228-1的规定。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5.2、压力损失：ΔP63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5.3、准确度等级为2级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5.4、水表计量不可逆流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5.5、 禁止为了降低水表的始动流量在Q1以下使用提高水表流速的加速装置及其他影响计量的装置。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5.6、水表温度等级：T30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5.6、水表的工作环境温度范围应为5℃-55℃。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5.7、工作环境湿度范围：40℃时为0%-100%。</w:t>
      </w:r>
    </w:p>
    <w:p>
      <w:pPr>
        <w:autoSpaceDE w:val="0"/>
        <w:autoSpaceDN w:val="0"/>
        <w:spacing w:line="48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r>
        <w:br w:type="page"/>
      </w:r>
    </w:p>
    <w:p>
      <w:pPr>
        <w:pStyle w:val="2"/>
        <w:jc w:val="center"/>
      </w:pPr>
      <w:r>
        <w:rPr>
          <w:rFonts w:hint="eastAsia"/>
        </w:rPr>
        <w:t>二、超声NB-IoT无线远传水表技术要求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执行标准：水表满足GB／T 778-2018 《饮用冷水水表和热水水表》、中华人民共和国国家计量检定规程JJG162-2019《饮用冷水水表》、《电子远传水表》CJ/T224-2012、CJ266-2008《饮用水冷水水表安全规则》以及一般技术规定条款所列的其它等效标准。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基表壳体材料：水表管段为H59黄铜或不锈钢，与水直接接触的壳体材料必须符合供水卫生标准，以检测报告/证书为准；能够耐受供水管网中的弱酸性。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基表规格：规格参照普通机械水表国家标准尺寸，GB/T778-2007。其中，DN15-DN40为螺纹连接，表拿应有签封空；DN50-DN300为法兰连接。如遇现场水表安装位置与所供水表尺寸存在差异，生产厂家免费调换。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整表防护等级:IP68。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量程比：R≥250，Q2:Q1=1.6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温度等级：T30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通信接口可选：NB-IOT、MBUS、RS485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平均工作电流：≤20UA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压力损失等级：△P40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准确度等级：居民户表为2级，非居民DN50及以上为1级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电磁环境条件等级：楼内为E1级，B类水表；户外为E2级，O类水表。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流场敏感度等级:U5/D3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13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远传水表应选择一体式，电池采取可更换电池，并且更换简便易于操作，更换后防护等级不变（IP68）。电池质保8年。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14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基表可选择单向计量，并具备反向报警功能；或者双向计量水表，并且正、反双向必须分别记录。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水表具备低电量报警功能，并且报警后至少可持续使用270天。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16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屏幕显示方式：液晶屏幕显示，显示正向、反向、累计流量、瞬时流量、故障信息，正向流量显示至少小数点后3位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数据采集和存储要求：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1）水表远传数据需与沈阳水务集团现有数据管理平台相衔接，并配合沈阳水务集团开发统一远程抄表平台，服从沈阳水务集团发布的《统一标准通讯协议》。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）必须与沈阳本地电信、移动、联通等三家运营商全部合作，数据传输模块经本地电信运营商认可；信号网络深度覆盖（户内、表井环境等均可正常使用）、超低功耗、通讯稳定可靠；NB-IoT物联网水表到平台之间无距离限制。</w:t>
      </w:r>
      <w:r>
        <w:rPr>
          <w:rFonts w:hint="eastAsia" w:ascii="仿宋" w:hAnsi="仿宋" w:eastAsia="仿宋" w:cs="仿宋"/>
          <w:sz w:val="32"/>
          <w:szCs w:val="32"/>
        </w:rPr>
        <w:t>运营商要有网络优化能力，运营商要达到网络正常运行的标准RSRP大于-90dBm，SNR大于0，ECL为0.并保证网络正常通讯。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3）至少能够按每30分钟采集1次，12小时打包发送1次的上传工作频率，采集时间和打包周期可以设置，水表生产厂家所选通讯运营商亦可满足此传输要求。应具备异常报警触发及时上报的功能。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4）远传水表至少可存储7天日记录（日采集流量、压力等数据），18个月记录（月汇总流量数据），6个年记录（年累计流量数据），报警数据保存6个月，断电恢复后数据不丢失并可查询、调取。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）采集终端能采集以及上传以下信息：表码、水表口径、正反向累计、内部电池百分比或电池电压，流速、水流时间、报警代码等。采集终端发送上来的表码，要与水表表身的表码、铭牌表码、水表内部存储的表码完全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采集终端在断电情况下必须保证里面数据的完整性和正确性，避免数据丢失，终端至少能保存1年以上的数据。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7）自动补传数据功能：设备自动记录历史数据，如果通信中断无法上传成功，当与上位机的联系恢复时，自动上发未成功传送的历史数据。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8）应支持近段设置。波特率:9600bps,校验位:NONE,数据位:8,停止位:1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9）水表应能通过人工干预手动触发水表进行上报数据。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10）水表应能支持远程升级和远程修改IP地址等功能。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18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通过应用平台对安装完毕的所有NB-IoT无线远传水表数据进行抄收，其一次抄收成功率不低于99%，机电同步率不低于99%。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19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在沈阳需设立办事处，配备软、硬件维修技术人员，计量表、软件、通讯平台损坏需在24小时内予以解决，如在规定时间内无法修复需以更换新表（无偿）的方式对其予以修复。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由我集团提供14位水表编码，水表编码（含编码对应条形码）贴纸样式须经我集团最终确认。水表编码（含编码对应条形码）激光刻印于水表表罩上。单只水表外包装盒上黏贴水表编码（含编码对应条形码）贴纸，单只水表包装内应另放两张水表编码（含编码对应条形码）不干胶贴纸以便于我集团日后水表管理。箱装水表外包装盒上应黏贴箱内所有水表对应水表编码（含编码对应条形码）贴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提供计量器具批准证书或型式评价报告</w:t>
      </w:r>
    </w:p>
    <w:p>
      <w:pPr>
        <w:widowControl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br w:type="page"/>
      </w:r>
    </w:p>
    <w:p>
      <w:pPr>
        <w:pStyle w:val="2"/>
        <w:jc w:val="center"/>
      </w:pPr>
      <w:r>
        <w:rPr>
          <w:rFonts w:hint="eastAsia"/>
        </w:rPr>
        <w:t>三、无磁机械式NB-IoT无线远传水表</w:t>
      </w:r>
    </w:p>
    <w:p>
      <w:pPr>
        <w:pStyle w:val="2"/>
        <w:jc w:val="center"/>
      </w:pPr>
      <w:r>
        <w:rPr>
          <w:rFonts w:hint="eastAsia"/>
        </w:rPr>
        <w:t>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执行标准：水表满足GB／T 778-2018 《饮用冷水水表和热水水表》、中华人民共和国国家计量检定规程JJG162-2019《饮用冷水水表》、《电子远传水表》CJ/T224-2012、CJ266-2008《饮用水冷水水表安全规则》以及一般技术规定条款所列的其它等效标准。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基表为水平旋翼式半液封机械水表，符合水务集团《水平旋翼式半液封机械水表技术要求》。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水表结构为整体式。基表和电子装置可拆分。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指示装置为模拟和数字组合式指示装置。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机电转换方式：无磁传感器。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准确度等级为2级。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机电转换精度精确到L位。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水表的温度等级应为T30。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压力损失等级：Δp63。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水表防护等级应为IP68。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远传水表应选择一体式，电池采取可更换电池，并且更换简便易于操作，不损坏计量封印。内置锂电池（需有密封处理），电路板须做全灌封处理，电池质保8年。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基表为单向计量，并具备反向报警功能。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13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基表规格：规格参照普通机械水表国家标准尺寸，GB/T778-2007。其中，DN15-DN40为螺纹连接，表拿应有签封空；DN50-DN300为法兰连接。如遇现场水表安装位置与所供水表尺寸存在差异，生产厂家免费调换尺寸合适的水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14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应具有水流量信号采集、顺流逆流信号采集，数据处理和信息存储功能。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机电转换误差应≤±1个机电转换信号当量，且不受磁场干扰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16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具备数据的非正常中断保护功能，内部电池电源中断或通信失败不应丢失内存数据，恢复后能正常工作。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电池功耗低，接收电流小于50mA、发射电流小于350mA、休眠时电流小于15μA。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18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必须确保机电数据同步，具有消除机电数据不同步（技术）措施。出现机电数据不同步现象，及时且无偿更换。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19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数据采集和存储要求：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1）水表远传数据需与沈阳水务集团现有数据管理平台相衔接，并配合沈阳水务集团开发统一远程抄表平台，服从沈阳水务集团发布的《统一标准通讯协议》。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2）必须与沈阳本地电信、移动、联通等三家运营商全部合作，数据传输模块经本地电信运营商认可；</w:t>
      </w:r>
      <w:r>
        <w:rPr>
          <w:rFonts w:hint="eastAsia" w:ascii="仿宋" w:hAnsi="仿宋" w:eastAsia="仿宋" w:cs="仿宋"/>
          <w:sz w:val="32"/>
          <w:szCs w:val="32"/>
        </w:rPr>
        <w:t>信号网络深度覆盖（户内、表井环境等均可正常使用）、超低功耗、通讯稳定可靠；NB-IoT物联网水表到平台之间无距离限制。运营商要有网络优化能力，运营商要达到网络正常运行的标准RSRP大于-90dBm，SNR大于0，ECL为0.并保证网络正常通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3）至少能够按每30分钟采集1次，12小时打包发送1次的上传工作频率，采集时间和打包周期可以设置，水表生产厂家所选通讯运营商亦可满足此传输要求。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4）远传水表至少可存储7天日记录（日采集流量、压力等数据），18个月记录（月汇总流量数据），6个年记录（年累计流量数据），报警数据保存6个月，断电恢复后数据不丢失并可查询、调取。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5）采集终端能采集以及上传以下信息：表码、水表口径、正反向累计、内部电池百分比或电池电压，报警代码等。采集终端发送上来的表码，要与水表表身的表码、铭牌表码、水表内部存储的表码完全一致。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6）采集终端在断电情况下必须保证里面数据的完整性和正确性，避免数据丢失，终端至少能保存1年以上的数据。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7）自动补传数据功能：设备自动记录历史数据，如果通信中断qa史数据。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8）应具备通过磁铁激活红外接口，支持手持设备设置参数。波特率:9600bps,校验位:NONE,数据位:8,停止位:1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9）水表应能通过人工干预手动触发水表进行上报数据。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10）水表应能支持远程升级和远程修改IP地址等功能。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通过应用平台对安装完毕的所有NB-IoT无线远传水表数据进行抄收，一次抄收成功率不低于99%，机电同步率不低于99%。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在沈阳需设立办事处，配备软、硬件维修技术人员，计量表、软件、通讯平台损坏需在24小时内予以解决，如在规定时间内无法修复需以更换新表（无偿）的方式对其予以修复。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由我集团提供14位水表编码，水表编码（含编码对应条形码）贴纸样式须经我集团最终确认。水表编码（含编码对应条形码）激光刻印于水表表罩上。单只水表外包装盒上黏贴水表编码（含编码对应条形码）贴纸，单只水表包装内应另放两张水表编码（含编码对应条形码）不干胶贴纸以便于我集团日后水表管理。箱装水表外包装盒上应黏贴箱内所有水表对应水表编码（含编码对应条形码）贴纸。</w:t>
      </w:r>
    </w:p>
    <w:p>
      <w:r>
        <w:br w:type="page"/>
      </w: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二次加压泵站超声远传水表技术要求</w:t>
      </w: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执行标准：水表满足GB／T 778-2018 《饮用冷水水表和热水水表》、中华人民共和国国家计量检定规程JJG162-2019《饮用冷水水表》、《电子远传水表》CJ/T224-2012、CJ266-2008《饮用水冷水水表安全规则》以及一般技术规定条款所列的其它等效标准。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基表壳体材料：水表管段为H59黄铜或不锈钢，与水直接接触的壳体材料必须符合供水卫生标准，以检测报告/证书为准；能够耐受供水管网中的弱酸性。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基表规格：规格参照普通机械水表国家标准尺寸，GB/T778-2007。其中，DN15-DN40为螺纹连接，表拿应有签封空；DN50-DN300为法兰连接。如遇现场水表安装位置与所供水表尺寸存在差异，生产厂家免费调换。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整表防护等级:IP68。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量程比：R≥250，</w:t>
      </w:r>
      <w:r>
        <w:rPr>
          <w:rFonts w:ascii="仿宋" w:hAnsi="仿宋" w:eastAsia="仿宋" w:cs="仿宋"/>
          <w:bCs/>
          <w:sz w:val="32"/>
          <w:szCs w:val="32"/>
        </w:rPr>
        <w:t>Q2:Q1</w:t>
      </w:r>
      <w:r>
        <w:rPr>
          <w:rFonts w:hint="eastAsia" w:ascii="仿宋" w:hAnsi="仿宋" w:eastAsia="仿宋" w:cs="仿宋"/>
          <w:bCs/>
          <w:sz w:val="32"/>
          <w:szCs w:val="32"/>
        </w:rPr>
        <w:t>=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.</w:t>
      </w:r>
      <w:r>
        <w:rPr>
          <w:rFonts w:ascii="仿宋" w:hAnsi="仿宋" w:eastAsia="仿宋" w:cs="仿宋"/>
          <w:bCs/>
          <w:sz w:val="32"/>
          <w:szCs w:val="32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温度等级：T30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通信接口可选：NB-IOT、MBUS、RS485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8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平均工作电流：≤20UA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压力损失等级：△P40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准确度等级：1级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电磁环境条件等级：楼内为E1级，B类水表；户外为E2级，O类水表。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流场敏感度等级:U5/D3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13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远传水表应选择一体式，非井表采用市政电源供电；井表采用电池供电，且电池可更换，并且更换简便易于操作，更换后防护等级不变（IP68）。电池质保8年。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14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基表可选择单向计量，并具备反向报警功能；或者双向计量水表，并且正、反双向必须分别记录。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水表具备低电量报警功能，并且报警后至少可持续使用270天。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16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屏幕显示方式：液晶屏幕显示，显示正向、反向、累计流量、瞬时流量、故障信息，正向流量显示至少小数点后3位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17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数据采集和存储要求：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1）数据远传优先采用宽带有线传输。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2）至少能够按每30分钟采集1次，12小时打包发送1次的上传工作频率，采集时间和打包周期可以设置，水表生产厂家所选通讯运营商亦可满足此传输要求。应具备异常报警触发及时上报的功能。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3）远传水表至少可存储7天日记录（日采集流量、压力等数据），18个月记录（月汇总流量数据），6个年记录（年累计流量数据），报警数据保存6个月，断电恢复后数据不丢失并可查询、调取。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）采集终端能采集以及上传以下信息：表码、水表口径、正反向累计、内部电池百分比或电池电压，流速、水流时间、报警代码等。采集终端发送上来的表码，要与水表表身的表码、铭牌表码、水表内部存储的表码完全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5）采集终端在断电情况下必须保证里面数据的完整性和正确性，避免数据丢失，终端至少能保存1年以上的数据。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6）自动补传数据功能：设备自动记录历史数据，如果通信中断无法上传成功，当与上位机的联系恢复时，自动上发未成功传送的历史数据。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7）应支持近段设置。波特率:9600bps,校验位:NONE,数据位:8,停止位:1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8）水表应能通过人工干预手动触发水表进行上报数据。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9）水表</w:t>
      </w:r>
      <w:r>
        <w:rPr>
          <w:rFonts w:ascii="仿宋" w:hAnsi="仿宋" w:eastAsia="仿宋" w:cs="仿宋"/>
          <w:bCs/>
          <w:sz w:val="32"/>
          <w:szCs w:val="32"/>
        </w:rPr>
        <w:t>应能支持</w:t>
      </w:r>
      <w:r>
        <w:rPr>
          <w:rFonts w:hint="eastAsia" w:ascii="仿宋" w:hAnsi="仿宋" w:eastAsia="仿宋" w:cs="仿宋"/>
          <w:bCs/>
          <w:sz w:val="32"/>
          <w:szCs w:val="32"/>
        </w:rPr>
        <w:t>远程升级和远程修改I</w:t>
      </w:r>
      <w:r>
        <w:rPr>
          <w:rFonts w:ascii="仿宋" w:hAnsi="仿宋" w:eastAsia="仿宋" w:cs="仿宋"/>
          <w:bCs/>
          <w:sz w:val="32"/>
          <w:szCs w:val="32"/>
        </w:rPr>
        <w:t>P</w:t>
      </w:r>
      <w:r>
        <w:rPr>
          <w:rFonts w:hint="eastAsia" w:ascii="仿宋" w:hAnsi="仿宋" w:eastAsia="仿宋" w:cs="仿宋"/>
          <w:bCs/>
          <w:sz w:val="32"/>
          <w:szCs w:val="32"/>
        </w:rPr>
        <w:t>地址等功能。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18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2"/>
          <w:szCs w:val="32"/>
        </w:rPr>
        <w:t>由我集团提供14位水表编码，水表编码（含编码对应条形码）贴纸样式须经我集团最终确认。水表编码（含编码对应条形码）激光刻印于水表表罩上。单只水表外包装盒上黏贴水表编码（含编码对应条形码）贴纸，单只水表包装内应另放两张水表编码（含编码对应条形码）不干胶贴纸以便于我集团日后水表管理。箱装水表外包装盒上应黏贴箱内所有水表对应水表编码（含编码对应条形码）贴纸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4911130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5C1"/>
    <w:multiLevelType w:val="multilevel"/>
    <w:tmpl w:val="778D25C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Arial" w:hAnsi="Arial" w:cs="Arial"/>
      </w:rPr>
    </w:lvl>
    <w:lvl w:ilvl="1" w:tentative="0">
      <w:start w:val="1"/>
      <w:numFmt w:val="decimal"/>
      <w:lvlText w:val="%1.%2."/>
      <w:lvlJc w:val="left"/>
      <w:pPr>
        <w:ind w:left="1702" w:hanging="567"/>
      </w:pPr>
      <w:rPr>
        <w:rFonts w:hint="default" w:ascii="Arial" w:hAnsi="Arial" w:cs="Arial"/>
        <w:b/>
      </w:rPr>
    </w:lvl>
    <w:lvl w:ilvl="2" w:tentative="0">
      <w:start w:val="1"/>
      <w:numFmt w:val="decimal"/>
      <w:pStyle w:val="18"/>
      <w:lvlText w:val="%1.%2.%3."/>
      <w:lvlJc w:val="left"/>
      <w:pPr>
        <w:ind w:left="709" w:hanging="709"/>
      </w:pPr>
      <w:rPr>
        <w:rFonts w:hint="default" w:ascii="Arial" w:hAnsi="Arial" w:cs="Arial"/>
        <w:b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default" w:ascii="Arial" w:hAnsi="Arial" w:cs="Arial"/>
        <w:b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3C"/>
    <w:rsid w:val="000061A0"/>
    <w:rsid w:val="00020F47"/>
    <w:rsid w:val="00026320"/>
    <w:rsid w:val="000731DA"/>
    <w:rsid w:val="0007556A"/>
    <w:rsid w:val="00096BED"/>
    <w:rsid w:val="000B4D17"/>
    <w:rsid w:val="00136E99"/>
    <w:rsid w:val="0017167B"/>
    <w:rsid w:val="001C27FC"/>
    <w:rsid w:val="001E2576"/>
    <w:rsid w:val="001F032B"/>
    <w:rsid w:val="00200575"/>
    <w:rsid w:val="00230E8D"/>
    <w:rsid w:val="00247BA6"/>
    <w:rsid w:val="00295C8C"/>
    <w:rsid w:val="002B1A70"/>
    <w:rsid w:val="002C0DCD"/>
    <w:rsid w:val="002F503E"/>
    <w:rsid w:val="00315DC0"/>
    <w:rsid w:val="0034042E"/>
    <w:rsid w:val="003404DC"/>
    <w:rsid w:val="00354FA0"/>
    <w:rsid w:val="00370CBC"/>
    <w:rsid w:val="00377038"/>
    <w:rsid w:val="003954CE"/>
    <w:rsid w:val="003C326E"/>
    <w:rsid w:val="003E0A4A"/>
    <w:rsid w:val="003F32DE"/>
    <w:rsid w:val="00442596"/>
    <w:rsid w:val="004629F8"/>
    <w:rsid w:val="00467BB3"/>
    <w:rsid w:val="00467C7E"/>
    <w:rsid w:val="0047029E"/>
    <w:rsid w:val="004977CD"/>
    <w:rsid w:val="004A72E4"/>
    <w:rsid w:val="004C51A3"/>
    <w:rsid w:val="004F401E"/>
    <w:rsid w:val="0054472F"/>
    <w:rsid w:val="005726D7"/>
    <w:rsid w:val="00595C3C"/>
    <w:rsid w:val="005D270D"/>
    <w:rsid w:val="005D3832"/>
    <w:rsid w:val="005D39D1"/>
    <w:rsid w:val="005D5CD0"/>
    <w:rsid w:val="005D664E"/>
    <w:rsid w:val="00607269"/>
    <w:rsid w:val="00635289"/>
    <w:rsid w:val="00636BEA"/>
    <w:rsid w:val="00641229"/>
    <w:rsid w:val="006417C2"/>
    <w:rsid w:val="00641FDF"/>
    <w:rsid w:val="00652086"/>
    <w:rsid w:val="006839E8"/>
    <w:rsid w:val="006A566B"/>
    <w:rsid w:val="006E50D8"/>
    <w:rsid w:val="006F509E"/>
    <w:rsid w:val="00736FCD"/>
    <w:rsid w:val="00751CBF"/>
    <w:rsid w:val="00784D8C"/>
    <w:rsid w:val="007948AC"/>
    <w:rsid w:val="007A207D"/>
    <w:rsid w:val="007B07A9"/>
    <w:rsid w:val="00851C11"/>
    <w:rsid w:val="00891E14"/>
    <w:rsid w:val="008A3CEF"/>
    <w:rsid w:val="008B35F8"/>
    <w:rsid w:val="008B4D78"/>
    <w:rsid w:val="008C44B2"/>
    <w:rsid w:val="008D3F27"/>
    <w:rsid w:val="00903140"/>
    <w:rsid w:val="009123CD"/>
    <w:rsid w:val="00924C9A"/>
    <w:rsid w:val="00953C5E"/>
    <w:rsid w:val="0096784C"/>
    <w:rsid w:val="0098662F"/>
    <w:rsid w:val="009A282A"/>
    <w:rsid w:val="009C7F55"/>
    <w:rsid w:val="00A155F9"/>
    <w:rsid w:val="00A24BD7"/>
    <w:rsid w:val="00A74487"/>
    <w:rsid w:val="00A76A56"/>
    <w:rsid w:val="00A964EE"/>
    <w:rsid w:val="00AD4654"/>
    <w:rsid w:val="00AF04F6"/>
    <w:rsid w:val="00B15226"/>
    <w:rsid w:val="00B247CB"/>
    <w:rsid w:val="00B415F7"/>
    <w:rsid w:val="00B548E9"/>
    <w:rsid w:val="00B65D16"/>
    <w:rsid w:val="00B81527"/>
    <w:rsid w:val="00BC0814"/>
    <w:rsid w:val="00BD1CCF"/>
    <w:rsid w:val="00CC3115"/>
    <w:rsid w:val="00CE66F2"/>
    <w:rsid w:val="00D45BC6"/>
    <w:rsid w:val="00DA36CA"/>
    <w:rsid w:val="00DC1CAA"/>
    <w:rsid w:val="00DF420E"/>
    <w:rsid w:val="00DF4515"/>
    <w:rsid w:val="00E03625"/>
    <w:rsid w:val="00E241BD"/>
    <w:rsid w:val="00E272AE"/>
    <w:rsid w:val="00E363B4"/>
    <w:rsid w:val="00E40707"/>
    <w:rsid w:val="00E708C3"/>
    <w:rsid w:val="00E73CF2"/>
    <w:rsid w:val="00EC7737"/>
    <w:rsid w:val="00ED4F12"/>
    <w:rsid w:val="00F14B75"/>
    <w:rsid w:val="00F20DD5"/>
    <w:rsid w:val="00F24731"/>
    <w:rsid w:val="00F74E36"/>
    <w:rsid w:val="00F912A6"/>
    <w:rsid w:val="00F96408"/>
    <w:rsid w:val="00FA62AA"/>
    <w:rsid w:val="00FC5560"/>
    <w:rsid w:val="0CF1170E"/>
    <w:rsid w:val="38FA2314"/>
    <w:rsid w:val="49B21C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link w:val="17"/>
    <w:qFormat/>
    <w:uiPriority w:val="0"/>
    <w:pPr>
      <w:spacing w:after="120"/>
    </w:pPr>
    <w:rPr>
      <w:szCs w:val="24"/>
    </w:rPr>
  </w:style>
  <w:style w:type="paragraph" w:styleId="6">
    <w:name w:val="Balloon Text"/>
    <w:basedOn w:val="1"/>
    <w:link w:val="21"/>
    <w:unhideWhenUsed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</w:rPr>
  </w:style>
  <w:style w:type="character" w:customStyle="1" w:styleId="12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HTML 预设格式 Char"/>
    <w:basedOn w:val="10"/>
    <w:link w:val="9"/>
    <w:qFormat/>
    <w:uiPriority w:val="99"/>
    <w:rPr>
      <w:rFonts w:ascii="Arial" w:hAnsi="Arial" w:eastAsia="宋体" w:cs="Arial"/>
      <w:kern w:val="0"/>
      <w:sz w:val="24"/>
    </w:rPr>
  </w:style>
  <w:style w:type="character" w:customStyle="1" w:styleId="16">
    <w:name w:val="标题 3 Char"/>
    <w:basedOn w:val="10"/>
    <w:link w:val="4"/>
    <w:qFormat/>
    <w:uiPriority w:val="9"/>
    <w:rPr>
      <w:b/>
      <w:bCs/>
      <w:sz w:val="32"/>
      <w:szCs w:val="32"/>
    </w:rPr>
  </w:style>
  <w:style w:type="character" w:customStyle="1" w:styleId="17">
    <w:name w:val="正文文本 Char"/>
    <w:basedOn w:val="10"/>
    <w:link w:val="5"/>
    <w:qFormat/>
    <w:uiPriority w:val="0"/>
    <w:rPr>
      <w:szCs w:val="24"/>
    </w:rPr>
  </w:style>
  <w:style w:type="paragraph" w:customStyle="1" w:styleId="18">
    <w:name w:val="二级无"/>
    <w:basedOn w:val="1"/>
    <w:qFormat/>
    <w:uiPriority w:val="99"/>
    <w:pPr>
      <w:widowControl/>
      <w:numPr>
        <w:ilvl w:val="2"/>
        <w:numId w:val="1"/>
      </w:numPr>
      <w:spacing w:before="156" w:after="156"/>
      <w:jc w:val="left"/>
      <w:outlineLvl w:val="3"/>
    </w:pPr>
    <w:rPr>
      <w:rFonts w:ascii="宋体" w:hAnsi="Times New Roman" w:eastAsia="宋体" w:cs="Times New Roman"/>
      <w:kern w:val="0"/>
      <w:szCs w:val="21"/>
    </w:rPr>
  </w:style>
  <w:style w:type="character" w:customStyle="1" w:styleId="19">
    <w:name w:val="页眉 Char"/>
    <w:basedOn w:val="10"/>
    <w:link w:val="8"/>
    <w:uiPriority w:val="99"/>
    <w:rPr>
      <w:sz w:val="18"/>
      <w:szCs w:val="18"/>
    </w:rPr>
  </w:style>
  <w:style w:type="character" w:customStyle="1" w:styleId="20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21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1189</Words>
  <Characters>6778</Characters>
  <Lines>56</Lines>
  <Paragraphs>15</Paragraphs>
  <ScaleCrop>false</ScaleCrop>
  <LinksUpToDate>false</LinksUpToDate>
  <CharactersWithSpaces>7952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2021-08-10T02:18:00Z</dcterms:created>
  <dc:creator>Administrator</dc:creator>
  <cp:lastModifiedBy>jl-admin</cp:lastModifiedBy>
  <cp:lastPrinted>2021-10-15T01:14:00Z</cp:lastPrinted>
  <dcterms:modified xsi:type="dcterms:W3CDTF">2021-10-25T03:02:34Z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